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50152067"/>
    <w:p w14:paraId="2BBD3CF2" w14:textId="23FCB30A" w:rsidR="00234F5D" w:rsidRPr="00BE3AD8" w:rsidRDefault="006C2D7A" w:rsidP="004F77AA">
      <w:pPr>
        <w:pStyle w:val="Title"/>
        <w:spacing w:before="0"/>
      </w:pPr>
      <w:sdt>
        <w:sdtPr>
          <w:alias w:val="Title"/>
          <w:tag w:val=""/>
          <w:id w:val="975726233"/>
          <w:placeholder>
            <w:docPart w:val="308B1CF4495A47BD807BF4D67D605F12"/>
          </w:placeholder>
          <w:dataBinding w:prefixMappings="xmlns:ns0='http://purl.org/dc/elements/1.1/' xmlns:ns1='http://schemas.openxmlformats.org/package/2006/metadata/core-properties' " w:xpath="/ns1:coreProperties[1]/ns0:title[1]" w:storeItemID="{6C3C8BC8-F283-45AE-878A-BAB7291924A1}"/>
          <w:text/>
        </w:sdtPr>
        <w:sdtEndPr/>
        <w:sdtContent>
          <w:r w:rsidR="002B6E16">
            <w:t>Submitting correct carbon dioxide emissions values for NVES</w:t>
          </w:r>
        </w:sdtContent>
      </w:sdt>
    </w:p>
    <w:p w14:paraId="15D7EC61" w14:textId="282DEDF5" w:rsidR="00DE4FE2" w:rsidRPr="002773D1" w:rsidRDefault="002B6E16" w:rsidP="002773D1">
      <w:pPr>
        <w:pStyle w:val="Subtitle"/>
      </w:pPr>
      <w:r>
        <w:t>Guidance for regulated entities</w:t>
      </w:r>
    </w:p>
    <w:sdt>
      <w:sdtPr>
        <w:alias w:val="Publish Date"/>
        <w:tag w:val=""/>
        <w:id w:val="452527336"/>
        <w:placeholder>
          <w:docPart w:val="FCBBE5C55EA4477AB3DBB0E45E5696A3"/>
        </w:placeholder>
        <w:dataBinding w:prefixMappings="xmlns:ns0='http://schemas.microsoft.com/office/2006/coverPageProps' " w:xpath="/ns0:CoverPageProperties[1]/ns0:PublishDate[1]" w:storeItemID="{55AF091B-3C7A-41E3-B477-F2FDAA23CFDA}"/>
        <w:date w:fullDate="2026-08-10T00:00:00Z">
          <w:dateFormat w:val="MMMM yyyy"/>
          <w:lid w:val="en-AU"/>
          <w:storeMappedDataAs w:val="dateTime"/>
          <w:calendar w:val="gregorian"/>
        </w:date>
      </w:sdtPr>
      <w:sdtEndPr/>
      <w:sdtContent>
        <w:p w14:paraId="1793FE43" w14:textId="1E7CB64F" w:rsidR="00DE4FE2" w:rsidRDefault="002B6E16" w:rsidP="002773D1">
          <w:pPr>
            <w:pStyle w:val="CoverDate"/>
          </w:pPr>
          <w:r>
            <w:t>August 2026</w:t>
          </w:r>
        </w:p>
      </w:sdtContent>
    </w:sdt>
    <w:p w14:paraId="238E0C96" w14:textId="77777777" w:rsidR="00DE4FE2" w:rsidRDefault="00DE4FE2" w:rsidP="00D02062">
      <w:pPr>
        <w:pBdr>
          <w:bottom w:val="single" w:sz="4" w:space="1" w:color="C0D48F" w:themeColor="accent5"/>
        </w:pBdr>
      </w:pPr>
    </w:p>
    <w:p w14:paraId="63807AFE" w14:textId="333192E8" w:rsidR="002B6E16" w:rsidRDefault="002B6E16" w:rsidP="002773D1">
      <w:pPr>
        <w:pStyle w:val="Heading1"/>
      </w:pPr>
      <w:bookmarkStart w:id="1" w:name="_Toc49855348"/>
      <w:r>
        <w:t>About this guidance</w:t>
      </w:r>
    </w:p>
    <w:p w14:paraId="6BFC7D45" w14:textId="7448F823" w:rsidR="001B32E8" w:rsidRDefault="001B32E8" w:rsidP="00F7030B">
      <w:pPr>
        <w:pStyle w:val="Introduction"/>
      </w:pPr>
      <w:r>
        <w:t xml:space="preserve">This guidance explains how </w:t>
      </w:r>
      <w:hyperlink r:id="rId12" w:history="1">
        <w:r w:rsidRPr="004673D4">
          <w:rPr>
            <w:rStyle w:val="Hyperlink"/>
          </w:rPr>
          <w:t>regulated entities</w:t>
        </w:r>
      </w:hyperlink>
      <w:r>
        <w:t xml:space="preserve"> (entities) can ensure carbon dioxide (CO</w:t>
      </w:r>
      <w:r w:rsidRPr="007F7167">
        <w:rPr>
          <w:vertAlign w:val="subscript"/>
        </w:rPr>
        <w:t>2</w:t>
      </w:r>
      <w:r>
        <w:t xml:space="preserve">) emissions data in Register of Approved Vehicle (RAV) submissions complies with requirements under the New Vehicle Efficiency Standard (NVES). </w:t>
      </w:r>
    </w:p>
    <w:p w14:paraId="46B3CC44" w14:textId="505EA2AC" w:rsidR="002B6E16" w:rsidRDefault="001B32E8" w:rsidP="00F7030B">
      <w:pPr>
        <w:pStyle w:val="Introduction"/>
      </w:pPr>
      <w:r>
        <w:t>This guidance is intended to provide entities with an understanding of their legislative requirements (including relevant Australian Design Rules (ADRs) for CO</w:t>
      </w:r>
      <w:r w:rsidRPr="007F7167">
        <w:rPr>
          <w:vertAlign w:val="subscript"/>
        </w:rPr>
        <w:t>2</w:t>
      </w:r>
      <w:r>
        <w:t xml:space="preserve"> emissions testing). Entities should read it in conjunction with relevant legislation and ADRs. It is not a substitute for independent legal advice.</w:t>
      </w:r>
    </w:p>
    <w:p w14:paraId="75D17701" w14:textId="77777777" w:rsidR="00C45205" w:rsidRDefault="00C45205" w:rsidP="00C45205">
      <w:pPr>
        <w:pStyle w:val="Heading2"/>
      </w:pPr>
      <w:r>
        <w:t>What requirements apply to CO</w:t>
      </w:r>
      <w:r w:rsidRPr="007F7167">
        <w:rPr>
          <w:vertAlign w:val="subscript"/>
        </w:rPr>
        <w:t>2</w:t>
      </w:r>
      <w:r>
        <w:t xml:space="preserve"> emissions values for NVES</w:t>
      </w:r>
    </w:p>
    <w:p w14:paraId="7FCF695B" w14:textId="3A0401F8" w:rsidR="00C45205" w:rsidRDefault="00C45205" w:rsidP="00C45205">
      <w:r>
        <w:t>Entities must submit an accurate CO</w:t>
      </w:r>
      <w:r w:rsidRPr="007F7167">
        <w:rPr>
          <w:vertAlign w:val="subscript"/>
        </w:rPr>
        <w:t>2</w:t>
      </w:r>
      <w:r>
        <w:t xml:space="preserve"> emissions value for each covered vehicle entered on the RAV. Entities must ensure that all submitted vehicle data, including CO</w:t>
      </w:r>
      <w:r w:rsidRPr="007F7167">
        <w:rPr>
          <w:vertAlign w:val="subscript"/>
        </w:rPr>
        <w:t>2</w:t>
      </w:r>
      <w:r>
        <w:t xml:space="preserve"> emissions data, is correct as required under section 8 of the </w:t>
      </w:r>
      <w:hyperlink r:id="rId13" w:history="1">
        <w:r w:rsidRPr="00A74F88">
          <w:rPr>
            <w:rStyle w:val="Hyperlink"/>
          </w:rPr>
          <w:t>Road Vehicle Standards Rules 2019</w:t>
        </w:r>
      </w:hyperlink>
      <w:r>
        <w:t xml:space="preserve"> (the Rules).</w:t>
      </w:r>
    </w:p>
    <w:p w14:paraId="5309BBF9" w14:textId="77777777" w:rsidR="00C45205" w:rsidRDefault="00C45205" w:rsidP="00C45205">
      <w:r>
        <w:t>For NVES, the CO</w:t>
      </w:r>
      <w:r w:rsidRPr="007F7167">
        <w:rPr>
          <w:vertAlign w:val="subscript"/>
        </w:rPr>
        <w:t>2</w:t>
      </w:r>
      <w:r>
        <w:t xml:space="preserve"> value is the amount of carbon dioxide a vehicle emits per kilometre, determined under the applicable ADR test procedure or accepted calculation method. Applicable ADRs are listed in step 1 of this guidance.</w:t>
      </w:r>
    </w:p>
    <w:p w14:paraId="377D194C" w14:textId="77777777" w:rsidR="00C45205" w:rsidRDefault="00C45205" w:rsidP="00C45205">
      <w:r>
        <w:t>By ‘accurate’ CO</w:t>
      </w:r>
      <w:r w:rsidRPr="007F7167">
        <w:rPr>
          <w:vertAlign w:val="subscript"/>
        </w:rPr>
        <w:t>2</w:t>
      </w:r>
      <w:r>
        <w:t xml:space="preserve"> values, we mean CO</w:t>
      </w:r>
      <w:r w:rsidRPr="007F7167">
        <w:rPr>
          <w:vertAlign w:val="subscript"/>
        </w:rPr>
        <w:t>2</w:t>
      </w:r>
      <w:r>
        <w:t xml:space="preserve"> values that are consistent with the applicable ADR test method, measurement definitions, calculation rules and NVES requirements – not a value intended to represent real-world emissions.</w:t>
      </w:r>
    </w:p>
    <w:p w14:paraId="55404A48" w14:textId="77777777" w:rsidR="00C45205" w:rsidRDefault="00C45205" w:rsidP="00C45205">
      <w:r>
        <w:t>Entities should be up to date with the relevant ADR requirements and ensure each submission reflects the ADR in force at the time. Later sections in this guidance provide more information about current and future ADR requirements.</w:t>
      </w:r>
    </w:p>
    <w:p w14:paraId="1E6E858C" w14:textId="77777777" w:rsidR="00C45205" w:rsidRDefault="00C45205" w:rsidP="00C45205">
      <w:r>
        <w:lastRenderedPageBreak/>
        <w:t>CO</w:t>
      </w:r>
      <w:r w:rsidRPr="007F7167">
        <w:rPr>
          <w:vertAlign w:val="subscript"/>
        </w:rPr>
        <w:t>2</w:t>
      </w:r>
      <w:r>
        <w:t xml:space="preserve"> values used for NVES may differ from those used for vehicle labelling or other approval material. Where this occurs, entities should submit the NVES-required value to the RAV and ensure it is supported by the relevant ADR or accepted calculation method.</w:t>
      </w:r>
    </w:p>
    <w:p w14:paraId="11061A16" w14:textId="77777777" w:rsidR="00C45205" w:rsidRDefault="00C45205" w:rsidP="00961016">
      <w:pPr>
        <w:pStyle w:val="Heading2"/>
      </w:pPr>
      <w:r>
        <w:t>Why accurate CO</w:t>
      </w:r>
      <w:r w:rsidRPr="007F7167">
        <w:rPr>
          <w:vertAlign w:val="subscript"/>
        </w:rPr>
        <w:t>2</w:t>
      </w:r>
      <w:r>
        <w:t xml:space="preserve"> emissions values matter</w:t>
      </w:r>
    </w:p>
    <w:p w14:paraId="322389BF" w14:textId="77777777" w:rsidR="00C45205" w:rsidRDefault="00C45205" w:rsidP="00C45205">
      <w:r>
        <w:t>Accurate CO</w:t>
      </w:r>
      <w:r w:rsidRPr="007F7167">
        <w:rPr>
          <w:vertAlign w:val="subscript"/>
        </w:rPr>
        <w:t>2</w:t>
      </w:r>
      <w:r>
        <w:t xml:space="preserve"> emissions values are essential because they are used to calculate an entity's NVES performance. The values affect the number of NVES units issued and any liability that may accrue if the entity does not beat the target.</w:t>
      </w:r>
    </w:p>
    <w:p w14:paraId="1868305E" w14:textId="77777777" w:rsidR="00C45205" w:rsidRDefault="00C45205" w:rsidP="00C45205">
      <w:r>
        <w:t>The NVES Regulator may undertake validation and assurance activities to identify potential inconsistencies or data quality issues. However, it is the entity’s responsibility to submit accurate, complete and supportable CO</w:t>
      </w:r>
      <w:r w:rsidRPr="007F7167">
        <w:rPr>
          <w:vertAlign w:val="subscript"/>
        </w:rPr>
        <w:t>2</w:t>
      </w:r>
      <w:r>
        <w:t xml:space="preserve"> data.</w:t>
      </w:r>
    </w:p>
    <w:p w14:paraId="3557129F" w14:textId="75F31AA3" w:rsidR="00C45205" w:rsidRDefault="00C45205" w:rsidP="00C45205">
      <w:r>
        <w:t>Different types of CO</w:t>
      </w:r>
      <w:r w:rsidRPr="007F7167">
        <w:rPr>
          <w:vertAlign w:val="subscript"/>
        </w:rPr>
        <w:t>2</w:t>
      </w:r>
      <w:r>
        <w:t xml:space="preserve"> information may be included on the vehicle’s energy consumption label and the </w:t>
      </w:r>
      <w:hyperlink r:id="rId14" w:history="1">
        <w:r w:rsidRPr="00504A3A">
          <w:rPr>
            <w:rStyle w:val="Hyperlink"/>
          </w:rPr>
          <w:t>Green Vehicle Guide</w:t>
        </w:r>
      </w:hyperlink>
      <w:r w:rsidR="00802440">
        <w:t xml:space="preserve"> (GVG)</w:t>
      </w:r>
      <w:r>
        <w:t xml:space="preserve">. This differs slightly from NVES requirements. Refer to the Department of Infrastructure, Transport, Regional Development, Communications, Sport and the Arts’ (the department) </w:t>
      </w:r>
      <w:hyperlink r:id="rId15" w:history="1">
        <w:r w:rsidRPr="00261C74">
          <w:rPr>
            <w:rStyle w:val="Hyperlink"/>
          </w:rPr>
          <w:t>Data requirements for ADR 81/03 – Energy Consumption Labelling for Light Vehicles</w:t>
        </w:r>
      </w:hyperlink>
      <w:r>
        <w:t xml:space="preserve"> for more guidance on those requirements.</w:t>
      </w:r>
    </w:p>
    <w:p w14:paraId="3C95CF48" w14:textId="77777777" w:rsidR="005D3155" w:rsidRDefault="005D3155" w:rsidP="005D3155">
      <w:pPr>
        <w:pStyle w:val="Heading2"/>
      </w:pPr>
      <w:r>
        <w:t>How to identify and submit the correct CO</w:t>
      </w:r>
      <w:r w:rsidRPr="007F7167">
        <w:rPr>
          <w:vertAlign w:val="subscript"/>
        </w:rPr>
        <w:t>2</w:t>
      </w:r>
      <w:r>
        <w:t xml:space="preserve"> value in RAV</w:t>
      </w:r>
    </w:p>
    <w:p w14:paraId="5A3DD379" w14:textId="77777777" w:rsidR="005D3155" w:rsidRDefault="005D3155" w:rsidP="005D3155">
      <w:r>
        <w:t>Use the following 5 steps to identify and submit the correct CO</w:t>
      </w:r>
      <w:r w:rsidRPr="007F7167">
        <w:rPr>
          <w:vertAlign w:val="subscript"/>
        </w:rPr>
        <w:t>2</w:t>
      </w:r>
      <w:r>
        <w:t xml:space="preserve"> value for vehicles covered under NVES. Entities should still refer to the relevant legislation, ADRs and approval material when making compliance decisions.</w:t>
      </w:r>
    </w:p>
    <w:p w14:paraId="50FE9134" w14:textId="77777777" w:rsidR="005D3155" w:rsidRDefault="005D3155" w:rsidP="005D3155">
      <w:r>
        <w:t>The 5 steps are:</w:t>
      </w:r>
    </w:p>
    <w:p w14:paraId="63BEA3F2" w14:textId="77777777" w:rsidR="00066731" w:rsidRDefault="005D3155" w:rsidP="00066731">
      <w:pPr>
        <w:pStyle w:val="ListNumbered1"/>
      </w:pPr>
      <w:r>
        <w:t>identify which ADR applies</w:t>
      </w:r>
    </w:p>
    <w:p w14:paraId="75ABA2EA" w14:textId="77777777" w:rsidR="00066731" w:rsidRDefault="00066731" w:rsidP="00066731">
      <w:pPr>
        <w:pStyle w:val="ListNumbered1"/>
      </w:pPr>
      <w:r>
        <w:t>d</w:t>
      </w:r>
      <w:r w:rsidR="005D3155">
        <w:t>etermine the basis for the CO</w:t>
      </w:r>
      <w:r w:rsidR="005D3155" w:rsidRPr="007F7167">
        <w:rPr>
          <w:vertAlign w:val="subscript"/>
        </w:rPr>
        <w:t>2</w:t>
      </w:r>
      <w:r w:rsidR="005D3155">
        <w:t xml:space="preserve"> value</w:t>
      </w:r>
    </w:p>
    <w:p w14:paraId="1022C266" w14:textId="77777777" w:rsidR="00066731" w:rsidRDefault="005D3155" w:rsidP="00066731">
      <w:pPr>
        <w:pStyle w:val="ListNumbered1"/>
      </w:pPr>
      <w:r>
        <w:t>apply the conversion procedure if CO</w:t>
      </w:r>
      <w:r w:rsidRPr="007F7167">
        <w:rPr>
          <w:vertAlign w:val="subscript"/>
        </w:rPr>
        <w:t>2</w:t>
      </w:r>
      <w:r>
        <w:t xml:space="preserve"> values are not NEDC-equivalent</w:t>
      </w:r>
    </w:p>
    <w:p w14:paraId="732E472E" w14:textId="77777777" w:rsidR="00066731" w:rsidRDefault="005D3155" w:rsidP="00066731">
      <w:pPr>
        <w:pStyle w:val="ListNumbered1"/>
      </w:pPr>
      <w:r>
        <w:t>keep records and maintain data quality</w:t>
      </w:r>
    </w:p>
    <w:p w14:paraId="768139A6" w14:textId="5600AE5F" w:rsidR="005D3155" w:rsidRDefault="005D3155" w:rsidP="00066731">
      <w:pPr>
        <w:pStyle w:val="ListNumbered1"/>
      </w:pPr>
      <w:r>
        <w:t>manage transitions between ADR requirements.</w:t>
      </w:r>
    </w:p>
    <w:p w14:paraId="568D7C08" w14:textId="77777777" w:rsidR="005D3155" w:rsidRDefault="005D3155" w:rsidP="00066731">
      <w:pPr>
        <w:pStyle w:val="Heading3"/>
      </w:pPr>
      <w:r>
        <w:t>Step 1: Identify which ADR applies</w:t>
      </w:r>
    </w:p>
    <w:p w14:paraId="0CDC19F3" w14:textId="77777777" w:rsidR="005D3155" w:rsidRPr="007F7AAF" w:rsidRDefault="005D3155" w:rsidP="007F7AAF">
      <w:r w:rsidRPr="007F7AAF">
        <w:t xml:space="preserve">The first step is to identify which ADR applies to the CO₂ emissions value for the vehicle. In broad terms, the relevant ADR depends on the vehicle, its mass, and when the relevant requirement applies. </w:t>
      </w:r>
    </w:p>
    <w:p w14:paraId="72DC26FD" w14:textId="77777777" w:rsidR="005D3155" w:rsidRPr="007F7AAF" w:rsidRDefault="005D3155" w:rsidP="007F7AAF">
      <w:r w:rsidRPr="007F7AAF">
        <w:t>The ADR that the vehicle’s vehicle type approval (VTA) complies with is the ADR that applies for CO</w:t>
      </w:r>
      <w:r w:rsidRPr="007F7167">
        <w:rPr>
          <w:vertAlign w:val="subscript"/>
        </w:rPr>
        <w:t>2</w:t>
      </w:r>
      <w:r w:rsidRPr="007F7AAF">
        <w:t xml:space="preserve"> values included in RAV submissions. This is determined at the time that an entity submits a VTA application and declares compliance with relevant ADRs, including evidence to substantiate that compliance. </w:t>
      </w:r>
    </w:p>
    <w:p w14:paraId="586364D7" w14:textId="02D09C18" w:rsidR="001B32E8" w:rsidRDefault="005D3155" w:rsidP="007F7AAF">
      <w:r w:rsidRPr="007F7AAF">
        <w:t>The ADRs with a primary purpose of measuring vehicle CO₂ values used for NVES compliance are included in the following table.</w:t>
      </w:r>
    </w:p>
    <w:tbl>
      <w:tblPr>
        <w:tblStyle w:val="DefaultTable1"/>
        <w:tblW w:w="0" w:type="auto"/>
        <w:tblLook w:val="04A0" w:firstRow="1" w:lastRow="0" w:firstColumn="1" w:lastColumn="0" w:noHBand="0" w:noVBand="1"/>
      </w:tblPr>
      <w:tblGrid>
        <w:gridCol w:w="3284"/>
        <w:gridCol w:w="1819"/>
        <w:gridCol w:w="4751"/>
      </w:tblGrid>
      <w:tr w:rsidR="007F7AAF" w:rsidRPr="004D056E" w14:paraId="17534C7E" w14:textId="77777777" w:rsidTr="005864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14:paraId="29AE327B" w14:textId="30367AE5" w:rsidR="007F7AAF" w:rsidRPr="004D056E" w:rsidRDefault="007F7AAF" w:rsidP="007F7AAF">
            <w:pPr>
              <w:rPr>
                <w:bCs/>
              </w:rPr>
            </w:pPr>
            <w:r w:rsidRPr="004D056E">
              <w:rPr>
                <w:bCs/>
              </w:rPr>
              <w:t>Vehicle</w:t>
            </w:r>
          </w:p>
        </w:tc>
        <w:tc>
          <w:tcPr>
            <w:tcW w:w="1819" w:type="dxa"/>
          </w:tcPr>
          <w:p w14:paraId="1AD370E0" w14:textId="7BD320FA" w:rsidR="007F7AAF" w:rsidRPr="004D056E" w:rsidRDefault="007F7AAF" w:rsidP="007F7AAF">
            <w:pPr>
              <w:cnfStyle w:val="100000000000" w:firstRow="1" w:lastRow="0" w:firstColumn="0" w:lastColumn="0" w:oddVBand="0" w:evenVBand="0" w:oddHBand="0" w:evenHBand="0" w:firstRowFirstColumn="0" w:firstRowLastColumn="0" w:lastRowFirstColumn="0" w:lastRowLastColumn="0"/>
            </w:pPr>
            <w:r w:rsidRPr="004D056E">
              <w:t>Relevant ADR</w:t>
            </w:r>
          </w:p>
        </w:tc>
        <w:tc>
          <w:tcPr>
            <w:tcW w:w="4751" w:type="dxa"/>
          </w:tcPr>
          <w:p w14:paraId="3C9E1332" w14:textId="1F5EF9ED" w:rsidR="007F7AAF" w:rsidRPr="004D056E" w:rsidRDefault="004D056E" w:rsidP="007F7AAF">
            <w:pPr>
              <w:cnfStyle w:val="100000000000" w:firstRow="1" w:lastRow="0" w:firstColumn="0" w:lastColumn="0" w:oddVBand="0" w:evenVBand="0" w:oddHBand="0" w:evenHBand="0" w:firstRowFirstColumn="0" w:firstRowLastColumn="0" w:lastRowFirstColumn="0" w:lastRowLastColumn="0"/>
            </w:pPr>
            <w:r w:rsidRPr="004D056E">
              <w:t>Primary testing procedure</w:t>
            </w:r>
          </w:p>
        </w:tc>
      </w:tr>
      <w:tr w:rsidR="007F7AAF" w14:paraId="4B5E73CE" w14:textId="77777777" w:rsidTr="005864A7">
        <w:tc>
          <w:tcPr>
            <w:cnfStyle w:val="001000000000" w:firstRow="0" w:lastRow="0" w:firstColumn="1" w:lastColumn="0" w:oddVBand="0" w:evenVBand="0" w:oddHBand="0" w:evenHBand="0" w:firstRowFirstColumn="0" w:firstRowLastColumn="0" w:lastRowFirstColumn="0" w:lastRowLastColumn="0"/>
            <w:tcW w:w="3284" w:type="dxa"/>
          </w:tcPr>
          <w:p w14:paraId="71AA43C1" w14:textId="51011F24" w:rsidR="007F7AAF" w:rsidRDefault="00D55023" w:rsidP="007F7AAF">
            <w:r w:rsidRPr="00D55023">
              <w:t>Light vehicles with GVM ≤ 3.5 tonnes</w:t>
            </w:r>
            <w:r w:rsidR="00C54AC7">
              <w:t xml:space="preserve"> (t)</w:t>
            </w:r>
            <w:r w:rsidRPr="00D55023">
              <w:t xml:space="preserve"> before 1 July 2026</w:t>
            </w:r>
          </w:p>
        </w:tc>
        <w:tc>
          <w:tcPr>
            <w:tcW w:w="1819" w:type="dxa"/>
          </w:tcPr>
          <w:p w14:paraId="2BF635FB" w14:textId="575B08E6" w:rsidR="007F7AAF" w:rsidRDefault="00F301F1" w:rsidP="007F7AAF">
            <w:pPr>
              <w:cnfStyle w:val="000000000000" w:firstRow="0" w:lastRow="0" w:firstColumn="0" w:lastColumn="0" w:oddVBand="0" w:evenVBand="0" w:oddHBand="0" w:evenHBand="0" w:firstRowFirstColumn="0" w:firstRowLastColumn="0" w:lastRowFirstColumn="0" w:lastRowLastColumn="0"/>
            </w:pPr>
            <w:hyperlink r:id="rId16" w:history="1">
              <w:r w:rsidRPr="00FD24EB">
                <w:rPr>
                  <w:rStyle w:val="Hyperlink"/>
                </w:rPr>
                <w:t>ADR 81/02</w:t>
              </w:r>
            </w:hyperlink>
          </w:p>
        </w:tc>
        <w:tc>
          <w:tcPr>
            <w:tcW w:w="4751" w:type="dxa"/>
          </w:tcPr>
          <w:p w14:paraId="1F81A332" w14:textId="0F8F3119" w:rsidR="007F7AAF" w:rsidRDefault="002074D8" w:rsidP="007F7AAF">
            <w:pPr>
              <w:cnfStyle w:val="000000000000" w:firstRow="0" w:lastRow="0" w:firstColumn="0" w:lastColumn="0" w:oddVBand="0" w:evenVBand="0" w:oddHBand="0" w:evenHBand="0" w:firstRowFirstColumn="0" w:firstRowLastColumn="0" w:lastRowFirstColumn="0" w:lastRowLastColumn="0"/>
            </w:pPr>
            <w:r w:rsidRPr="002074D8">
              <w:t>New European Driving Cycle (NEDC)</w:t>
            </w:r>
          </w:p>
        </w:tc>
      </w:tr>
      <w:tr w:rsidR="007F7AAF" w14:paraId="469F1E12" w14:textId="77777777" w:rsidTr="005864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14:paraId="018D79FC" w14:textId="2D4DCF4B" w:rsidR="007F7AAF" w:rsidRDefault="00B83A77" w:rsidP="007F7AAF">
            <w:r w:rsidRPr="00B83A77">
              <w:t>Existing approved light vehicle models with GVM ≤ 3.5 t between 1 July 2026 and 30 June 2028</w:t>
            </w:r>
          </w:p>
        </w:tc>
        <w:tc>
          <w:tcPr>
            <w:tcW w:w="1819" w:type="dxa"/>
          </w:tcPr>
          <w:p w14:paraId="2B8D6B5A" w14:textId="5F31A087" w:rsidR="007F7AAF" w:rsidRDefault="008A4FEA" w:rsidP="007F7AAF">
            <w:pPr>
              <w:cnfStyle w:val="000000010000" w:firstRow="0" w:lastRow="0" w:firstColumn="0" w:lastColumn="0" w:oddVBand="0" w:evenVBand="0" w:oddHBand="0" w:evenHBand="1" w:firstRowFirstColumn="0" w:firstRowLastColumn="0" w:lastRowFirstColumn="0" w:lastRowLastColumn="0"/>
            </w:pPr>
            <w:hyperlink r:id="rId17" w:history="1">
              <w:r w:rsidRPr="009678FD">
                <w:rPr>
                  <w:rStyle w:val="Hyperlink"/>
                </w:rPr>
                <w:t>ADR 81/02</w:t>
              </w:r>
            </w:hyperlink>
            <w:r w:rsidRPr="008A4FEA">
              <w:t xml:space="preserve"> or </w:t>
            </w:r>
            <w:hyperlink r:id="rId18" w:history="1">
              <w:r w:rsidRPr="00063F91">
                <w:rPr>
                  <w:rStyle w:val="Hyperlink"/>
                </w:rPr>
                <w:t>ADR 81/03</w:t>
              </w:r>
            </w:hyperlink>
          </w:p>
        </w:tc>
        <w:tc>
          <w:tcPr>
            <w:tcW w:w="4751" w:type="dxa"/>
          </w:tcPr>
          <w:p w14:paraId="08F0BEFB" w14:textId="77777777" w:rsidR="005864A7" w:rsidRDefault="005864A7" w:rsidP="005864A7">
            <w:pPr>
              <w:cnfStyle w:val="000000010000" w:firstRow="0" w:lastRow="0" w:firstColumn="0" w:lastColumn="0" w:oddVBand="0" w:evenVBand="0" w:oddHBand="0" w:evenHBand="1" w:firstRowFirstColumn="0" w:firstRowLastColumn="0" w:lastRowFirstColumn="0" w:lastRowLastColumn="0"/>
            </w:pPr>
            <w:r>
              <w:t>NEDC for ADR 81/02</w:t>
            </w:r>
          </w:p>
          <w:p w14:paraId="6B5C1504" w14:textId="16DB5FF4" w:rsidR="007F7AAF" w:rsidRDefault="005864A7" w:rsidP="005864A7">
            <w:pPr>
              <w:cnfStyle w:val="000000010000" w:firstRow="0" w:lastRow="0" w:firstColumn="0" w:lastColumn="0" w:oddVBand="0" w:evenVBand="0" w:oddHBand="0" w:evenHBand="1" w:firstRowFirstColumn="0" w:firstRowLastColumn="0" w:lastRowFirstColumn="0" w:lastRowLastColumn="0"/>
            </w:pPr>
            <w:r>
              <w:t>Worldwide Harmonised Light Vehicles Test Procedure (WLTP) or equivalent US standard (40 CFR Part 600) for ADR 81/03</w:t>
            </w:r>
          </w:p>
        </w:tc>
      </w:tr>
      <w:tr w:rsidR="007F7AAF" w14:paraId="22E1FEB0" w14:textId="77777777" w:rsidTr="005864A7">
        <w:tc>
          <w:tcPr>
            <w:cnfStyle w:val="001000000000" w:firstRow="0" w:lastRow="0" w:firstColumn="1" w:lastColumn="0" w:oddVBand="0" w:evenVBand="0" w:oddHBand="0" w:evenHBand="0" w:firstRowFirstColumn="0" w:firstRowLastColumn="0" w:lastRowFirstColumn="0" w:lastRowLastColumn="0"/>
            <w:tcW w:w="3284" w:type="dxa"/>
          </w:tcPr>
          <w:p w14:paraId="61517214" w14:textId="1D16369B" w:rsidR="007F7AAF" w:rsidRDefault="00D13556" w:rsidP="007F7AAF">
            <w:r w:rsidRPr="00D13556">
              <w:lastRenderedPageBreak/>
              <w:t>Newly approved light vehicle models with GVM ≤ 3.5 t from 1 July 2026</w:t>
            </w:r>
          </w:p>
        </w:tc>
        <w:tc>
          <w:tcPr>
            <w:tcW w:w="1819" w:type="dxa"/>
          </w:tcPr>
          <w:p w14:paraId="0C92456E" w14:textId="5ADF5D8F" w:rsidR="007F7AAF" w:rsidRDefault="00DB772F" w:rsidP="007F7AAF">
            <w:pPr>
              <w:cnfStyle w:val="000000000000" w:firstRow="0" w:lastRow="0" w:firstColumn="0" w:lastColumn="0" w:oddVBand="0" w:evenVBand="0" w:oddHBand="0" w:evenHBand="0" w:firstRowFirstColumn="0" w:firstRowLastColumn="0" w:lastRowFirstColumn="0" w:lastRowLastColumn="0"/>
            </w:pPr>
            <w:hyperlink r:id="rId19" w:history="1">
              <w:r w:rsidRPr="00E93750">
                <w:rPr>
                  <w:rStyle w:val="Hyperlink"/>
                </w:rPr>
                <w:t>ADR 81/03</w:t>
              </w:r>
            </w:hyperlink>
          </w:p>
        </w:tc>
        <w:tc>
          <w:tcPr>
            <w:tcW w:w="4751" w:type="dxa"/>
          </w:tcPr>
          <w:p w14:paraId="627E5078" w14:textId="2E350507" w:rsidR="007F7AAF" w:rsidRDefault="00EA1CFF" w:rsidP="007F7AAF">
            <w:pPr>
              <w:cnfStyle w:val="000000000000" w:firstRow="0" w:lastRow="0" w:firstColumn="0" w:lastColumn="0" w:oddVBand="0" w:evenVBand="0" w:oddHBand="0" w:evenHBand="0" w:firstRowFirstColumn="0" w:firstRowLastColumn="0" w:lastRowFirstColumn="0" w:lastRowLastColumn="0"/>
            </w:pPr>
            <w:r>
              <w:t xml:space="preserve">WLTP or </w:t>
            </w:r>
            <w:r w:rsidRPr="000D5D9D">
              <w:t>equivalent US standard (40</w:t>
            </w:r>
            <w:r>
              <w:t> </w:t>
            </w:r>
            <w:r w:rsidRPr="000D5D9D">
              <w:t>CFR Part</w:t>
            </w:r>
            <w:r>
              <w:t> </w:t>
            </w:r>
            <w:r w:rsidRPr="000D5D9D">
              <w:t>600)</w:t>
            </w:r>
          </w:p>
        </w:tc>
      </w:tr>
      <w:tr w:rsidR="00DB772F" w14:paraId="76AD510C" w14:textId="77777777" w:rsidTr="005864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14:paraId="75F2E667" w14:textId="7839A149" w:rsidR="00DB772F" w:rsidRPr="00D13556" w:rsidRDefault="006E1F09" w:rsidP="007F7AAF">
            <w:r w:rsidRPr="006E1F09">
              <w:t>Light vehicle with GVM &gt; 3.5 tonnes and ≤ 3.855 t after 30 June 2027</w:t>
            </w:r>
          </w:p>
        </w:tc>
        <w:tc>
          <w:tcPr>
            <w:tcW w:w="1819" w:type="dxa"/>
          </w:tcPr>
          <w:p w14:paraId="027DF04A" w14:textId="4FA0A858" w:rsidR="00DB772F" w:rsidRPr="00DB772F" w:rsidRDefault="00B67C77" w:rsidP="007F7AAF">
            <w:pPr>
              <w:cnfStyle w:val="000000010000" w:firstRow="0" w:lastRow="0" w:firstColumn="0" w:lastColumn="0" w:oddVBand="0" w:evenVBand="0" w:oddHBand="0" w:evenHBand="1" w:firstRowFirstColumn="0" w:firstRowLastColumn="0" w:lastRowFirstColumn="0" w:lastRowLastColumn="0"/>
            </w:pPr>
            <w:hyperlink r:id="rId20" w:history="1">
              <w:r w:rsidRPr="00504FFF">
                <w:rPr>
                  <w:rStyle w:val="Hyperlink"/>
                </w:rPr>
                <w:t>ADR 114/00</w:t>
              </w:r>
            </w:hyperlink>
            <w:r w:rsidRPr="00B67C77">
              <w:t>, subject to exclusions</w:t>
            </w:r>
          </w:p>
        </w:tc>
        <w:tc>
          <w:tcPr>
            <w:tcW w:w="4751" w:type="dxa"/>
          </w:tcPr>
          <w:p w14:paraId="3477E588" w14:textId="196B03F4" w:rsidR="00DB772F" w:rsidRDefault="006B08D9" w:rsidP="007F7AAF">
            <w:pPr>
              <w:cnfStyle w:val="000000010000" w:firstRow="0" w:lastRow="0" w:firstColumn="0" w:lastColumn="0" w:oddVBand="0" w:evenVBand="0" w:oddHBand="0" w:evenHBand="1" w:firstRowFirstColumn="0" w:firstRowLastColumn="0" w:lastRowFirstColumn="0" w:lastRowLastColumn="0"/>
            </w:pPr>
            <w:r>
              <w:t>NEDC</w:t>
            </w:r>
          </w:p>
        </w:tc>
      </w:tr>
    </w:tbl>
    <w:p w14:paraId="1493DB11" w14:textId="77777777" w:rsidR="008064A7" w:rsidRDefault="006B08D9" w:rsidP="008064A7">
      <w:r>
        <w:t>Notes:</w:t>
      </w:r>
    </w:p>
    <w:p w14:paraId="3BBFA398" w14:textId="77777777" w:rsidR="008064A7" w:rsidRDefault="008064A7" w:rsidP="00262D22">
      <w:pPr>
        <w:pStyle w:val="Bullet1"/>
      </w:pPr>
      <w:r>
        <w:t xml:space="preserve">These are the primary testing procedures that are accepted under the applicable ADR, noting that certain alternative standards are also accepted. Refer to each specific ADR for more detail. </w:t>
      </w:r>
    </w:p>
    <w:p w14:paraId="6F96D471" w14:textId="77777777" w:rsidR="008064A7" w:rsidRDefault="008064A7" w:rsidP="00262D22">
      <w:pPr>
        <w:pStyle w:val="Bullet1"/>
      </w:pPr>
      <w:r>
        <w:t>For NVES, if you are using the primary testing procedure outlined in the relevant ADR, all CO</w:t>
      </w:r>
      <w:r w:rsidRPr="007F7167">
        <w:rPr>
          <w:vertAlign w:val="subscript"/>
        </w:rPr>
        <w:t>2</w:t>
      </w:r>
      <w:r>
        <w:t xml:space="preserve"> values that are not NEDC-equivalent must be converted (see Step 3).</w:t>
      </w:r>
    </w:p>
    <w:p w14:paraId="19861EE7" w14:textId="08884A4B" w:rsidR="008064A7" w:rsidRDefault="008064A7" w:rsidP="00262D22">
      <w:pPr>
        <w:pStyle w:val="Bullet1"/>
      </w:pPr>
      <w:r>
        <w:t>These ADRs often reference testing requirements contained in other ADRs that apply more broadly to regulation of noxious emissions. This includes ADR 81/02 that references practical testing elements of ADR 79/04, and ADR 81/03 that similarly relies on ADR 111/00 for interpolation.</w:t>
      </w:r>
    </w:p>
    <w:p w14:paraId="6C19E706" w14:textId="77777777" w:rsidR="001F1C79" w:rsidRDefault="001F1C79" w:rsidP="00262D22">
      <w:pPr>
        <w:pStyle w:val="Heading3"/>
      </w:pPr>
      <w:r>
        <w:t>Step 2: Determine the basis for the CO</w:t>
      </w:r>
      <w:r w:rsidRPr="007F7167">
        <w:rPr>
          <w:vertAlign w:val="subscript"/>
        </w:rPr>
        <w:t>2</w:t>
      </w:r>
      <w:r>
        <w:t xml:space="preserve"> value</w:t>
      </w:r>
    </w:p>
    <w:p w14:paraId="38C0C52B" w14:textId="77777777" w:rsidR="001F1C79" w:rsidRDefault="001F1C79" w:rsidP="001F1C79">
      <w:r>
        <w:t xml:space="preserve">Once the applicable ADR has been identified, the entity should determine the correct basis for the CO₂ value for a vehicle according to test procedure and specific requirements. </w:t>
      </w:r>
    </w:p>
    <w:p w14:paraId="7F589926" w14:textId="77777777" w:rsidR="00262D22" w:rsidRDefault="001F1C79" w:rsidP="001F1C79">
      <w:r>
        <w:t>For example, an entity may extend CO</w:t>
      </w:r>
      <w:r w:rsidRPr="007F7167">
        <w:rPr>
          <w:vertAlign w:val="subscript"/>
        </w:rPr>
        <w:t>2</w:t>
      </w:r>
      <w:r>
        <w:t xml:space="preserve"> emissions values across multiple vehicles (within a vehicle type or an interpolation family), but the rules for doing so differ depending on the ADR:</w:t>
      </w:r>
    </w:p>
    <w:p w14:paraId="4F275BEB" w14:textId="77777777" w:rsidR="00262D22" w:rsidRDefault="001F1C79" w:rsidP="00262D22">
      <w:pPr>
        <w:pStyle w:val="Bullet1"/>
      </w:pPr>
      <w:r>
        <w:t>ADR 81/02 and ADR 114/00 both allow values to be extended to non-tested vehicles, but they require the entity to justify that approach by reference to the ADR and the characteristics of the vehicles concerned.</w:t>
      </w:r>
    </w:p>
    <w:p w14:paraId="27B4D177" w14:textId="444CBE25" w:rsidR="001F1C79" w:rsidRDefault="001F1C79" w:rsidP="00262D22">
      <w:pPr>
        <w:pStyle w:val="Bullet1"/>
      </w:pPr>
      <w:r>
        <w:t>ADR 81/03 applies the testing requirements of ADR 111/00, which sets out detailed technical criteria for interpolation.</w:t>
      </w:r>
    </w:p>
    <w:p w14:paraId="7C942751" w14:textId="15C3D6BD" w:rsidR="001F1C79" w:rsidRDefault="001F1C79" w:rsidP="001F1C79">
      <w:r>
        <w:t>The</w:t>
      </w:r>
      <w:r w:rsidR="00262D22">
        <w:t xml:space="preserve"> following</w:t>
      </w:r>
      <w:r>
        <w:t xml:space="preserve"> table provides a high-level comparison of ADR provisions that govern CO</w:t>
      </w:r>
      <w:r w:rsidRPr="00DE55A4">
        <w:rPr>
          <w:vertAlign w:val="subscript"/>
        </w:rPr>
        <w:t>2</w:t>
      </w:r>
      <w:r>
        <w:t xml:space="preserve"> test values, and which one may be applied or extended to non-tested NVES covered vehicles. To ensure compliance, entities should use this table as a guide only and must refer directly to the relevant ADR when deriving the correct CO</w:t>
      </w:r>
      <w:r w:rsidRPr="00DE55A4">
        <w:rPr>
          <w:vertAlign w:val="subscript"/>
        </w:rPr>
        <w:t>2</w:t>
      </w:r>
      <w:r>
        <w:t xml:space="preserve"> values. We recommend you seek professional advice if you are unsure how to apply the ADR.</w:t>
      </w:r>
    </w:p>
    <w:tbl>
      <w:tblPr>
        <w:tblStyle w:val="DefaultTable1"/>
        <w:tblW w:w="0" w:type="auto"/>
        <w:tblLook w:val="04A0" w:firstRow="1" w:lastRow="0" w:firstColumn="1" w:lastColumn="0" w:noHBand="0" w:noVBand="1"/>
      </w:tblPr>
      <w:tblGrid>
        <w:gridCol w:w="1832"/>
        <w:gridCol w:w="2643"/>
        <w:gridCol w:w="2642"/>
        <w:gridCol w:w="2747"/>
      </w:tblGrid>
      <w:tr w:rsidR="001E7F9C" w14:paraId="43EE4179" w14:textId="77777777" w:rsidTr="000B28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2" w:type="dxa"/>
          </w:tcPr>
          <w:p w14:paraId="67B3BFC3" w14:textId="245ABEB8" w:rsidR="001E7F9C" w:rsidRPr="00E4430B" w:rsidRDefault="00E4430B" w:rsidP="001F1C79">
            <w:pPr>
              <w:rPr>
                <w:bCs/>
              </w:rPr>
            </w:pPr>
            <w:r w:rsidRPr="00E4430B">
              <w:rPr>
                <w:bCs/>
              </w:rPr>
              <w:t>Feature</w:t>
            </w:r>
          </w:p>
        </w:tc>
        <w:tc>
          <w:tcPr>
            <w:tcW w:w="2643" w:type="dxa"/>
          </w:tcPr>
          <w:p w14:paraId="75D07946" w14:textId="7024BFFD" w:rsidR="001E7F9C" w:rsidRDefault="00E4430B" w:rsidP="001F1C79">
            <w:pPr>
              <w:cnfStyle w:val="100000000000" w:firstRow="1" w:lastRow="0" w:firstColumn="0" w:lastColumn="0" w:oddVBand="0" w:evenVBand="0" w:oddHBand="0" w:evenHBand="0" w:firstRowFirstColumn="0" w:firstRowLastColumn="0" w:lastRowFirstColumn="0" w:lastRowLastColumn="0"/>
            </w:pPr>
            <w:r>
              <w:t>ADR 81/02</w:t>
            </w:r>
          </w:p>
        </w:tc>
        <w:tc>
          <w:tcPr>
            <w:tcW w:w="2642" w:type="dxa"/>
          </w:tcPr>
          <w:p w14:paraId="59C95FAD" w14:textId="0827A893" w:rsidR="001E7F9C" w:rsidRDefault="00E4430B" w:rsidP="001F1C79">
            <w:pPr>
              <w:cnfStyle w:val="100000000000" w:firstRow="1" w:lastRow="0" w:firstColumn="0" w:lastColumn="0" w:oddVBand="0" w:evenVBand="0" w:oddHBand="0" w:evenHBand="0" w:firstRowFirstColumn="0" w:firstRowLastColumn="0" w:lastRowFirstColumn="0" w:lastRowLastColumn="0"/>
            </w:pPr>
            <w:r>
              <w:t>ADR 81/03</w:t>
            </w:r>
          </w:p>
        </w:tc>
        <w:tc>
          <w:tcPr>
            <w:tcW w:w="2747" w:type="dxa"/>
          </w:tcPr>
          <w:p w14:paraId="1D684365" w14:textId="038BC8B0" w:rsidR="001E7F9C" w:rsidRDefault="00E4430B" w:rsidP="001F1C79">
            <w:pPr>
              <w:cnfStyle w:val="100000000000" w:firstRow="1" w:lastRow="0" w:firstColumn="0" w:lastColumn="0" w:oddVBand="0" w:evenVBand="0" w:oddHBand="0" w:evenHBand="0" w:firstRowFirstColumn="0" w:firstRowLastColumn="0" w:lastRowFirstColumn="0" w:lastRowLastColumn="0"/>
            </w:pPr>
            <w:r>
              <w:t>ADR 114/00</w:t>
            </w:r>
          </w:p>
        </w:tc>
      </w:tr>
      <w:tr w:rsidR="001E7F9C" w14:paraId="6C822D9B" w14:textId="77777777" w:rsidTr="000B2837">
        <w:tc>
          <w:tcPr>
            <w:cnfStyle w:val="001000000000" w:firstRow="0" w:lastRow="0" w:firstColumn="1" w:lastColumn="0" w:oddVBand="0" w:evenVBand="0" w:oddHBand="0" w:evenHBand="0" w:firstRowFirstColumn="0" w:firstRowLastColumn="0" w:lastRowFirstColumn="0" w:lastRowLastColumn="0"/>
            <w:tcW w:w="1832" w:type="dxa"/>
          </w:tcPr>
          <w:p w14:paraId="2652993F" w14:textId="444AEAD9" w:rsidR="001E7F9C" w:rsidRDefault="00B92507" w:rsidP="001F1C79">
            <w:r>
              <w:t>Application</w:t>
            </w:r>
          </w:p>
        </w:tc>
        <w:tc>
          <w:tcPr>
            <w:tcW w:w="2643" w:type="dxa"/>
          </w:tcPr>
          <w:p w14:paraId="49CDDB01" w14:textId="0F4862B4" w:rsidR="001E7F9C" w:rsidRDefault="00727E4F" w:rsidP="001F1C79">
            <w:pPr>
              <w:cnfStyle w:val="000000000000" w:firstRow="0" w:lastRow="0" w:firstColumn="0" w:lastColumn="0" w:oddVBand="0" w:evenVBand="0" w:oddHBand="0" w:evenHBand="0" w:firstRowFirstColumn="0" w:firstRowLastColumn="0" w:lastRowFirstColumn="0" w:lastRowLastColumn="0"/>
            </w:pPr>
            <w:r w:rsidRPr="00727E4F">
              <w:t>Light vehicles ≤3.5</w:t>
            </w:r>
            <w:r w:rsidR="00C54AC7">
              <w:t xml:space="preserve"> </w:t>
            </w:r>
            <w:r w:rsidRPr="00727E4F">
              <w:t>t GVM before 1 July 2026.</w:t>
            </w:r>
          </w:p>
        </w:tc>
        <w:tc>
          <w:tcPr>
            <w:tcW w:w="2642" w:type="dxa"/>
          </w:tcPr>
          <w:p w14:paraId="79579C63" w14:textId="62C08BA0" w:rsidR="001E7F9C" w:rsidRDefault="00953FC0" w:rsidP="001F1C79">
            <w:pPr>
              <w:cnfStyle w:val="000000000000" w:firstRow="0" w:lastRow="0" w:firstColumn="0" w:lastColumn="0" w:oddVBand="0" w:evenVBand="0" w:oddHBand="0" w:evenHBand="0" w:firstRowFirstColumn="0" w:firstRowLastColumn="0" w:lastRowFirstColumn="0" w:lastRowLastColumn="0"/>
            </w:pPr>
            <w:r w:rsidRPr="00953FC0">
              <w:t>New light vehicle models ≤3.5</w:t>
            </w:r>
            <w:r w:rsidR="00C54AC7">
              <w:t xml:space="preserve"> </w:t>
            </w:r>
            <w:r w:rsidRPr="00953FC0">
              <w:t>t GVM from 1 July 2026, and existing light vehicle models ≤3.5</w:t>
            </w:r>
            <w:r w:rsidR="00C54AC7">
              <w:t xml:space="preserve"> </w:t>
            </w:r>
            <w:r w:rsidRPr="00953FC0">
              <w:t>t GVM between 1 July 2026 and 30 June 2028</w:t>
            </w:r>
            <w:r w:rsidR="003E17F7">
              <w:t>.</w:t>
            </w:r>
          </w:p>
        </w:tc>
        <w:tc>
          <w:tcPr>
            <w:tcW w:w="2747" w:type="dxa"/>
          </w:tcPr>
          <w:p w14:paraId="311778CD" w14:textId="1D2BF955" w:rsidR="001E7F9C" w:rsidRDefault="00395814" w:rsidP="001F1C79">
            <w:pPr>
              <w:cnfStyle w:val="000000000000" w:firstRow="0" w:lastRow="0" w:firstColumn="0" w:lastColumn="0" w:oddVBand="0" w:evenVBand="0" w:oddHBand="0" w:evenHBand="0" w:firstRowFirstColumn="0" w:firstRowLastColumn="0" w:lastRowFirstColumn="0" w:lastRowLastColumn="0"/>
            </w:pPr>
            <w:r w:rsidRPr="00601225">
              <w:rPr>
                <w:rFonts w:cstheme="minorHAnsi"/>
              </w:rPr>
              <w:t>Vehicles &gt;3.5</w:t>
            </w:r>
            <w:r w:rsidR="00C54AC7">
              <w:rPr>
                <w:rFonts w:cstheme="minorHAnsi"/>
              </w:rPr>
              <w:t xml:space="preserve"> </w:t>
            </w:r>
            <w:r w:rsidRPr="00601225">
              <w:rPr>
                <w:rFonts w:cstheme="minorHAnsi"/>
              </w:rPr>
              <w:t>t and ≤3.855</w:t>
            </w:r>
            <w:r w:rsidR="00C54AC7">
              <w:rPr>
                <w:rFonts w:cstheme="minorHAnsi"/>
              </w:rPr>
              <w:t xml:space="preserve"> </w:t>
            </w:r>
            <w:r w:rsidRPr="00601225">
              <w:rPr>
                <w:rFonts w:cstheme="minorHAnsi"/>
              </w:rPr>
              <w:t>t GVM, excluding work trucks and work vans.</w:t>
            </w:r>
          </w:p>
        </w:tc>
      </w:tr>
      <w:tr w:rsidR="001E7F9C" w14:paraId="737C015A" w14:textId="77777777" w:rsidTr="000B28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2" w:type="dxa"/>
          </w:tcPr>
          <w:p w14:paraId="591C8B0B" w14:textId="72FBC8E2" w:rsidR="001E7F9C" w:rsidRDefault="00395814" w:rsidP="001F1C79">
            <w:r>
              <w:t>Primary test basis</w:t>
            </w:r>
          </w:p>
        </w:tc>
        <w:tc>
          <w:tcPr>
            <w:tcW w:w="2643" w:type="dxa"/>
          </w:tcPr>
          <w:p w14:paraId="370F0907" w14:textId="6E192949" w:rsidR="001E7F9C" w:rsidRDefault="00D720DD" w:rsidP="001F1C79">
            <w:pPr>
              <w:cnfStyle w:val="000000010000" w:firstRow="0" w:lastRow="0" w:firstColumn="0" w:lastColumn="0" w:oddVBand="0" w:evenVBand="0" w:oddHBand="0" w:evenHBand="1" w:firstRowFirstColumn="0" w:firstRowLastColumn="0" w:lastRowFirstColumn="0" w:lastRowLastColumn="0"/>
            </w:pPr>
            <w:r w:rsidRPr="00D720DD">
              <w:t>NEDC-based testing.</w:t>
            </w:r>
          </w:p>
        </w:tc>
        <w:tc>
          <w:tcPr>
            <w:tcW w:w="2642" w:type="dxa"/>
          </w:tcPr>
          <w:p w14:paraId="56DA17D3" w14:textId="284351BC" w:rsidR="001E7F9C" w:rsidRDefault="00157073" w:rsidP="001F1C79">
            <w:pPr>
              <w:cnfStyle w:val="000000010000" w:firstRow="0" w:lastRow="0" w:firstColumn="0" w:lastColumn="0" w:oddVBand="0" w:evenVBand="0" w:oddHBand="0" w:evenHBand="1" w:firstRowFirstColumn="0" w:firstRowLastColumn="0" w:lastRowFirstColumn="0" w:lastRowLastColumn="0"/>
            </w:pPr>
            <w:r w:rsidRPr="00157073">
              <w:t>WLTP based testing as prescribed under ADR 111/00.</w:t>
            </w:r>
          </w:p>
        </w:tc>
        <w:tc>
          <w:tcPr>
            <w:tcW w:w="2747" w:type="dxa"/>
          </w:tcPr>
          <w:p w14:paraId="07D0E208" w14:textId="593544E4" w:rsidR="001E7F9C" w:rsidRDefault="00E960D3" w:rsidP="001F1C79">
            <w:pPr>
              <w:cnfStyle w:val="000000010000" w:firstRow="0" w:lastRow="0" w:firstColumn="0" w:lastColumn="0" w:oddVBand="0" w:evenVBand="0" w:oddHBand="0" w:evenHBand="1" w:firstRowFirstColumn="0" w:firstRowLastColumn="0" w:lastRowFirstColumn="0" w:lastRowLastColumn="0"/>
            </w:pPr>
            <w:r w:rsidRPr="00E960D3">
              <w:t>NEDC-based testing.</w:t>
            </w:r>
          </w:p>
        </w:tc>
      </w:tr>
      <w:tr w:rsidR="001E7F9C" w14:paraId="1AD0679C" w14:textId="77777777" w:rsidTr="000B2837">
        <w:tc>
          <w:tcPr>
            <w:cnfStyle w:val="001000000000" w:firstRow="0" w:lastRow="0" w:firstColumn="1" w:lastColumn="0" w:oddVBand="0" w:evenVBand="0" w:oddHBand="0" w:evenHBand="0" w:firstRowFirstColumn="0" w:firstRowLastColumn="0" w:lastRowFirstColumn="0" w:lastRowLastColumn="0"/>
            <w:tcW w:w="1832" w:type="dxa"/>
          </w:tcPr>
          <w:p w14:paraId="774CDF97" w14:textId="482B95B3" w:rsidR="001E7F9C" w:rsidRDefault="00E960D3" w:rsidP="001F1C79">
            <w:r>
              <w:t>Tested values</w:t>
            </w:r>
          </w:p>
        </w:tc>
        <w:tc>
          <w:tcPr>
            <w:tcW w:w="2643" w:type="dxa"/>
          </w:tcPr>
          <w:p w14:paraId="5B2A9479" w14:textId="58A20581" w:rsidR="001E7F9C" w:rsidRDefault="002E1EB3" w:rsidP="001F1C79">
            <w:pPr>
              <w:cnfStyle w:val="000000000000" w:firstRow="0" w:lastRow="0" w:firstColumn="0" w:lastColumn="0" w:oddVBand="0" w:evenVBand="0" w:oddHBand="0" w:evenHBand="0" w:firstRowFirstColumn="0" w:firstRowLastColumn="0" w:lastRowFirstColumn="0" w:lastRowLastColumn="0"/>
            </w:pPr>
            <w:r w:rsidRPr="002E1EB3">
              <w:t>CO₂ value may be based on a tested vehicle.</w:t>
            </w:r>
          </w:p>
        </w:tc>
        <w:tc>
          <w:tcPr>
            <w:tcW w:w="2642" w:type="dxa"/>
          </w:tcPr>
          <w:p w14:paraId="0B8EC019" w14:textId="25F15832" w:rsidR="001E7F9C" w:rsidRDefault="00995D98" w:rsidP="001F1C79">
            <w:pPr>
              <w:cnfStyle w:val="000000000000" w:firstRow="0" w:lastRow="0" w:firstColumn="0" w:lastColumn="0" w:oddVBand="0" w:evenVBand="0" w:oddHBand="0" w:evenHBand="0" w:firstRowFirstColumn="0" w:firstRowLastColumn="0" w:lastRowFirstColumn="0" w:lastRowLastColumn="0"/>
            </w:pPr>
            <w:r w:rsidRPr="00995D98">
              <w:t>Direct testing or interpolation within defined families.</w:t>
            </w:r>
          </w:p>
        </w:tc>
        <w:tc>
          <w:tcPr>
            <w:tcW w:w="2747" w:type="dxa"/>
          </w:tcPr>
          <w:p w14:paraId="7E6C4643" w14:textId="154290E8" w:rsidR="001E7F9C" w:rsidRDefault="00CE67F2" w:rsidP="001F1C79">
            <w:pPr>
              <w:cnfStyle w:val="000000000000" w:firstRow="0" w:lastRow="0" w:firstColumn="0" w:lastColumn="0" w:oddVBand="0" w:evenVBand="0" w:oddHBand="0" w:evenHBand="0" w:firstRowFirstColumn="0" w:firstRowLastColumn="0" w:lastRowFirstColumn="0" w:lastRowLastColumn="0"/>
            </w:pPr>
            <w:r w:rsidRPr="00CE67F2">
              <w:t>CO₂ value may be based on tested vehicles.</w:t>
            </w:r>
          </w:p>
        </w:tc>
      </w:tr>
      <w:tr w:rsidR="001E7F9C" w14:paraId="1EB56834" w14:textId="77777777" w:rsidTr="000B28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2" w:type="dxa"/>
          </w:tcPr>
          <w:p w14:paraId="48239B78" w14:textId="1594CA44" w:rsidR="001E7F9C" w:rsidRDefault="00CE67F2" w:rsidP="001F1C79">
            <w:r>
              <w:t>Non-tested vehicles</w:t>
            </w:r>
          </w:p>
        </w:tc>
        <w:tc>
          <w:tcPr>
            <w:tcW w:w="2643" w:type="dxa"/>
          </w:tcPr>
          <w:p w14:paraId="19103598" w14:textId="20DA660D" w:rsidR="001E7F9C" w:rsidRDefault="000D64D2" w:rsidP="001F1C79">
            <w:pPr>
              <w:cnfStyle w:val="000000010000" w:firstRow="0" w:lastRow="0" w:firstColumn="0" w:lastColumn="0" w:oddVBand="0" w:evenVBand="0" w:oddHBand="0" w:evenHBand="1" w:firstRowFirstColumn="0" w:firstRowLastColumn="0" w:lastRowFirstColumn="0" w:lastRowLastColumn="0"/>
            </w:pPr>
            <w:r w:rsidRPr="000D64D2">
              <w:t xml:space="preserve">Permitted if comparable result can be </w:t>
            </w:r>
            <w:r w:rsidRPr="000D64D2">
              <w:lastRenderedPageBreak/>
              <w:t>demonstrated, considering design and operation.</w:t>
            </w:r>
          </w:p>
        </w:tc>
        <w:tc>
          <w:tcPr>
            <w:tcW w:w="2642" w:type="dxa"/>
          </w:tcPr>
          <w:p w14:paraId="1DE4CA62" w14:textId="704D5BD9" w:rsidR="001E7F9C" w:rsidRDefault="002E3415" w:rsidP="001F1C79">
            <w:pPr>
              <w:cnfStyle w:val="000000010000" w:firstRow="0" w:lastRow="0" w:firstColumn="0" w:lastColumn="0" w:oddVBand="0" w:evenVBand="0" w:oddHBand="0" w:evenHBand="1" w:firstRowFirstColumn="0" w:firstRowLastColumn="0" w:lastRowFirstColumn="0" w:lastRowLastColumn="0"/>
            </w:pPr>
            <w:r w:rsidRPr="002E3415">
              <w:lastRenderedPageBreak/>
              <w:t>Permitted through formal interpolation within a valid family.</w:t>
            </w:r>
          </w:p>
        </w:tc>
        <w:tc>
          <w:tcPr>
            <w:tcW w:w="2747" w:type="dxa"/>
          </w:tcPr>
          <w:p w14:paraId="6D34D3FC" w14:textId="7B1830AC" w:rsidR="001E7F9C" w:rsidRDefault="00802440" w:rsidP="001F1C79">
            <w:pPr>
              <w:cnfStyle w:val="000000010000" w:firstRow="0" w:lastRow="0" w:firstColumn="0" w:lastColumn="0" w:oddVBand="0" w:evenVBand="0" w:oddHBand="0" w:evenHBand="1" w:firstRowFirstColumn="0" w:firstRowLastColumn="0" w:lastRowFirstColumn="0" w:lastRowLastColumn="0"/>
            </w:pPr>
            <w:r w:rsidRPr="00C013B2">
              <w:rPr>
                <w:rFonts w:cstheme="minorHAnsi"/>
              </w:rPr>
              <w:t>Permitted if the value is justified as representative.</w:t>
            </w:r>
          </w:p>
        </w:tc>
      </w:tr>
      <w:tr w:rsidR="001E7F9C" w14:paraId="3D40BD4E" w14:textId="77777777" w:rsidTr="000B2837">
        <w:tc>
          <w:tcPr>
            <w:cnfStyle w:val="001000000000" w:firstRow="0" w:lastRow="0" w:firstColumn="1" w:lastColumn="0" w:oddVBand="0" w:evenVBand="0" w:oddHBand="0" w:evenHBand="0" w:firstRowFirstColumn="0" w:firstRowLastColumn="0" w:lastRowFirstColumn="0" w:lastRowLastColumn="0"/>
            <w:tcW w:w="1832" w:type="dxa"/>
          </w:tcPr>
          <w:p w14:paraId="306B5DE5" w14:textId="0294852D" w:rsidR="001E7F9C" w:rsidRDefault="00AE6914" w:rsidP="001F1C79">
            <w:r w:rsidRPr="00601225">
              <w:rPr>
                <w:rFonts w:cstheme="minorHAnsi"/>
              </w:rPr>
              <w:t>Assessment method</w:t>
            </w:r>
          </w:p>
        </w:tc>
        <w:tc>
          <w:tcPr>
            <w:tcW w:w="2643" w:type="dxa"/>
          </w:tcPr>
          <w:p w14:paraId="21FDED37" w14:textId="7A93CCB8" w:rsidR="001E7F9C" w:rsidRDefault="002839B9" w:rsidP="001F1C79">
            <w:pPr>
              <w:cnfStyle w:val="000000000000" w:firstRow="0" w:lastRow="0" w:firstColumn="0" w:lastColumn="0" w:oddVBand="0" w:evenVBand="0" w:oddHBand="0" w:evenHBand="0" w:firstRowFirstColumn="0" w:firstRowLastColumn="0" w:lastRowFirstColumn="0" w:lastRowLastColumn="0"/>
            </w:pPr>
            <w:r w:rsidRPr="002839B9">
              <w:t>Interpolation or another technically supported method.</w:t>
            </w:r>
          </w:p>
        </w:tc>
        <w:tc>
          <w:tcPr>
            <w:tcW w:w="2642" w:type="dxa"/>
          </w:tcPr>
          <w:p w14:paraId="25821459" w14:textId="26DD76C2" w:rsidR="001E7F9C" w:rsidRDefault="00A81BBD" w:rsidP="001F1C79">
            <w:pPr>
              <w:cnfStyle w:val="000000000000" w:firstRow="0" w:lastRow="0" w:firstColumn="0" w:lastColumn="0" w:oddVBand="0" w:evenVBand="0" w:oddHBand="0" w:evenHBand="0" w:firstRowFirstColumn="0" w:firstRowLastColumn="0" w:lastRowFirstColumn="0" w:lastRowLastColumn="0"/>
            </w:pPr>
            <w:r w:rsidRPr="00A81BBD">
              <w:t>Defined family criteria, ranges and linearity or monotonicity requirements.</w:t>
            </w:r>
          </w:p>
        </w:tc>
        <w:tc>
          <w:tcPr>
            <w:tcW w:w="2747" w:type="dxa"/>
          </w:tcPr>
          <w:p w14:paraId="0A536B1C" w14:textId="23463D1F" w:rsidR="001E7F9C" w:rsidRDefault="0059218B" w:rsidP="0059218B">
            <w:pPr>
              <w:cnfStyle w:val="000000000000" w:firstRow="0" w:lastRow="0" w:firstColumn="0" w:lastColumn="0" w:oddVBand="0" w:evenVBand="0" w:oddHBand="0" w:evenHBand="0" w:firstRowFirstColumn="0" w:firstRowLastColumn="0" w:lastRowFirstColumn="0" w:lastRowLastColumn="0"/>
            </w:pPr>
            <w:r w:rsidRPr="0059218B">
              <w:t>Interpolation-style reasoning, comparison, or representative/conservative approach.</w:t>
            </w:r>
          </w:p>
        </w:tc>
      </w:tr>
      <w:tr w:rsidR="00B67FCC" w14:paraId="234488C3" w14:textId="77777777" w:rsidTr="000B28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2" w:type="dxa"/>
          </w:tcPr>
          <w:p w14:paraId="3EA89094" w14:textId="639F4DB6" w:rsidR="00B67FCC" w:rsidRDefault="00F62C6F" w:rsidP="001F1C79">
            <w:r w:rsidRPr="00F62C6F">
              <w:t>Vehicle differences</w:t>
            </w:r>
          </w:p>
        </w:tc>
        <w:tc>
          <w:tcPr>
            <w:tcW w:w="2643" w:type="dxa"/>
          </w:tcPr>
          <w:p w14:paraId="63BF458C" w14:textId="12EFFD71" w:rsidR="00B67FCC" w:rsidRDefault="00B01061" w:rsidP="00B01061">
            <w:pPr>
              <w:cnfStyle w:val="000000010000" w:firstRow="0" w:lastRow="0" w:firstColumn="0" w:lastColumn="0" w:oddVBand="0" w:evenVBand="0" w:oddHBand="0" w:evenHBand="1" w:firstRowFirstColumn="0" w:firstRowLastColumn="0" w:lastRowFirstColumn="0" w:lastRowLastColumn="0"/>
            </w:pPr>
            <w:r w:rsidRPr="00B01061">
              <w:t>Assess characteristics including but not limited to mass, body style, gearing, engine equipment and accessories.</w:t>
            </w:r>
          </w:p>
        </w:tc>
        <w:tc>
          <w:tcPr>
            <w:tcW w:w="2642" w:type="dxa"/>
          </w:tcPr>
          <w:p w14:paraId="3BDBE626" w14:textId="2BE16A8B" w:rsidR="00B67FCC" w:rsidRDefault="001128A0" w:rsidP="001F1C79">
            <w:pPr>
              <w:cnfStyle w:val="000000010000" w:firstRow="0" w:lastRow="0" w:firstColumn="0" w:lastColumn="0" w:oddVBand="0" w:evenVBand="0" w:oddHBand="0" w:evenHBand="1" w:firstRowFirstColumn="0" w:firstRowLastColumn="0" w:lastRowFirstColumn="0" w:lastRowLastColumn="0"/>
            </w:pPr>
            <w:r w:rsidRPr="001128A0">
              <w:t>Key emissions characteristics are identical; differences are limited to specified parameters.</w:t>
            </w:r>
          </w:p>
        </w:tc>
        <w:tc>
          <w:tcPr>
            <w:tcW w:w="2747" w:type="dxa"/>
          </w:tcPr>
          <w:p w14:paraId="7E1914EB" w14:textId="6C33F4CD" w:rsidR="00B67FCC" w:rsidRDefault="00651354" w:rsidP="001F1C79">
            <w:pPr>
              <w:cnfStyle w:val="000000010000" w:firstRow="0" w:lastRow="0" w:firstColumn="0" w:lastColumn="0" w:oddVBand="0" w:evenVBand="0" w:oddHBand="0" w:evenHBand="1" w:firstRowFirstColumn="0" w:firstRowLastColumn="0" w:lastRowFirstColumn="0" w:lastRowLastColumn="0"/>
            </w:pPr>
            <w:r w:rsidRPr="00651354">
              <w:t>Assess relevant differences and effect on CO₂ emissions.</w:t>
            </w:r>
          </w:p>
        </w:tc>
      </w:tr>
      <w:tr w:rsidR="00B67FCC" w14:paraId="57026711" w14:textId="77777777" w:rsidTr="000B2837">
        <w:tc>
          <w:tcPr>
            <w:cnfStyle w:val="001000000000" w:firstRow="0" w:lastRow="0" w:firstColumn="1" w:lastColumn="0" w:oddVBand="0" w:evenVBand="0" w:oddHBand="0" w:evenHBand="0" w:firstRowFirstColumn="0" w:firstRowLastColumn="0" w:lastRowFirstColumn="0" w:lastRowLastColumn="0"/>
            <w:tcW w:w="1832" w:type="dxa"/>
          </w:tcPr>
          <w:p w14:paraId="6C5E06F1" w14:textId="72A36F8F" w:rsidR="00B67FCC" w:rsidRDefault="00CD60B6" w:rsidP="001F1C79">
            <w:r w:rsidRPr="00601225">
              <w:rPr>
                <w:rFonts w:cstheme="minorHAnsi"/>
              </w:rPr>
              <w:t>Interpolation</w:t>
            </w:r>
          </w:p>
        </w:tc>
        <w:tc>
          <w:tcPr>
            <w:tcW w:w="2643" w:type="dxa"/>
          </w:tcPr>
          <w:p w14:paraId="6E3D3173" w14:textId="04AE154A" w:rsidR="00B67FCC" w:rsidRDefault="00D32D9A" w:rsidP="001F1C79">
            <w:pPr>
              <w:cnfStyle w:val="000000000000" w:firstRow="0" w:lastRow="0" w:firstColumn="0" w:lastColumn="0" w:oddVBand="0" w:evenVBand="0" w:oddHBand="0" w:evenHBand="0" w:firstRowFirstColumn="0" w:firstRowLastColumn="0" w:lastRowFirstColumn="0" w:lastRowLastColumn="0"/>
            </w:pPr>
            <w:r w:rsidRPr="00D32D9A">
              <w:t>May be used where technically supported and comparable.</w:t>
            </w:r>
          </w:p>
        </w:tc>
        <w:tc>
          <w:tcPr>
            <w:tcW w:w="2642" w:type="dxa"/>
          </w:tcPr>
          <w:p w14:paraId="3C9F0A2E" w14:textId="0D96797E" w:rsidR="00B67FCC" w:rsidRDefault="00D21349" w:rsidP="001F1C79">
            <w:pPr>
              <w:cnfStyle w:val="000000000000" w:firstRow="0" w:lastRow="0" w:firstColumn="0" w:lastColumn="0" w:oddVBand="0" w:evenVBand="0" w:oddHBand="0" w:evenHBand="0" w:firstRowFirstColumn="0" w:firstRowLastColumn="0" w:lastRowFirstColumn="0" w:lastRowLastColumn="0"/>
            </w:pPr>
            <w:r w:rsidRPr="00D21349">
              <w:t>Low/high vehicles must meet defined range and monotonicity limits.</w:t>
            </w:r>
          </w:p>
        </w:tc>
        <w:tc>
          <w:tcPr>
            <w:tcW w:w="2747" w:type="dxa"/>
          </w:tcPr>
          <w:p w14:paraId="3C5654DD" w14:textId="58010618" w:rsidR="00B67FCC" w:rsidRDefault="00F3089A" w:rsidP="00F3089A">
            <w:pPr>
              <w:cnfStyle w:val="000000000000" w:firstRow="0" w:lastRow="0" w:firstColumn="0" w:lastColumn="0" w:oddVBand="0" w:evenVBand="0" w:oddHBand="0" w:evenHBand="0" w:firstRowFirstColumn="0" w:firstRowLastColumn="0" w:lastRowFirstColumn="0" w:lastRowLastColumn="0"/>
            </w:pPr>
            <w:r w:rsidRPr="00F3089A">
              <w:t>May be used where a continuous monotonic relationship is demonstrated.</w:t>
            </w:r>
          </w:p>
        </w:tc>
      </w:tr>
      <w:tr w:rsidR="00F3089A" w14:paraId="6AB6C385" w14:textId="77777777" w:rsidTr="000B28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2" w:type="dxa"/>
          </w:tcPr>
          <w:p w14:paraId="596C3A36" w14:textId="7F0C7944" w:rsidR="00F3089A" w:rsidRPr="00601225" w:rsidRDefault="001B78BF" w:rsidP="001F1C79">
            <w:pPr>
              <w:rPr>
                <w:rFonts w:cstheme="minorHAnsi"/>
              </w:rPr>
            </w:pPr>
            <w:r w:rsidRPr="001B78BF">
              <w:rPr>
                <w:rFonts w:cstheme="minorHAnsi"/>
              </w:rPr>
              <w:t>Conservative approach</w:t>
            </w:r>
          </w:p>
        </w:tc>
        <w:tc>
          <w:tcPr>
            <w:tcW w:w="2643" w:type="dxa"/>
          </w:tcPr>
          <w:p w14:paraId="2801FD04" w14:textId="55F49D37" w:rsidR="00F3089A" w:rsidRPr="00D32D9A" w:rsidRDefault="00100DE1" w:rsidP="001F1C79">
            <w:pPr>
              <w:cnfStyle w:val="000000010000" w:firstRow="0" w:lastRow="0" w:firstColumn="0" w:lastColumn="0" w:oddVBand="0" w:evenVBand="0" w:oddHBand="0" w:evenHBand="1" w:firstRowFirstColumn="0" w:firstRowLastColumn="0" w:lastRowFirstColumn="0" w:lastRowLastColumn="0"/>
            </w:pPr>
            <w:r w:rsidRPr="00100DE1">
              <w:t>May be used for light commercial vehicles where representative and technically justified.</w:t>
            </w:r>
          </w:p>
        </w:tc>
        <w:tc>
          <w:tcPr>
            <w:tcW w:w="2642" w:type="dxa"/>
          </w:tcPr>
          <w:p w14:paraId="6F543C4C" w14:textId="2A97B5A5" w:rsidR="00F3089A" w:rsidRPr="00D21349" w:rsidRDefault="003966B6" w:rsidP="001F1C79">
            <w:pPr>
              <w:cnfStyle w:val="000000010000" w:firstRow="0" w:lastRow="0" w:firstColumn="0" w:lastColumn="0" w:oddVBand="0" w:evenVBand="0" w:oddHBand="0" w:evenHBand="1" w:firstRowFirstColumn="0" w:firstRowLastColumn="0" w:lastRowFirstColumn="0" w:lastRowLastColumn="0"/>
            </w:pPr>
            <w:r w:rsidRPr="00601225">
              <w:rPr>
                <w:rFonts w:cstheme="minorHAnsi"/>
              </w:rPr>
              <w:t>Not supported.</w:t>
            </w:r>
          </w:p>
        </w:tc>
        <w:tc>
          <w:tcPr>
            <w:tcW w:w="2747" w:type="dxa"/>
          </w:tcPr>
          <w:p w14:paraId="0D9A1225" w14:textId="78558561" w:rsidR="00F3089A" w:rsidRPr="00F3089A" w:rsidRDefault="002B4548" w:rsidP="00F3089A">
            <w:pPr>
              <w:cnfStyle w:val="000000010000" w:firstRow="0" w:lastRow="0" w:firstColumn="0" w:lastColumn="0" w:oddVBand="0" w:evenVBand="0" w:oddHBand="0" w:evenHBand="1" w:firstRowFirstColumn="0" w:firstRowLastColumn="0" w:lastRowFirstColumn="0" w:lastRowLastColumn="0"/>
            </w:pPr>
            <w:r w:rsidRPr="002B4548">
              <w:t>May be used where representative and technically justified.</w:t>
            </w:r>
          </w:p>
        </w:tc>
      </w:tr>
      <w:tr w:rsidR="002B4548" w14:paraId="1036F111" w14:textId="77777777" w:rsidTr="000B2837">
        <w:tc>
          <w:tcPr>
            <w:cnfStyle w:val="001000000000" w:firstRow="0" w:lastRow="0" w:firstColumn="1" w:lastColumn="0" w:oddVBand="0" w:evenVBand="0" w:oddHBand="0" w:evenHBand="0" w:firstRowFirstColumn="0" w:firstRowLastColumn="0" w:lastRowFirstColumn="0" w:lastRowLastColumn="0"/>
            <w:tcW w:w="1832" w:type="dxa"/>
          </w:tcPr>
          <w:p w14:paraId="03D1578C" w14:textId="5A5EDB16" w:rsidR="002B4548" w:rsidRPr="001B78BF" w:rsidRDefault="00E26AC2" w:rsidP="001F1C79">
            <w:pPr>
              <w:rPr>
                <w:rFonts w:cstheme="minorHAnsi"/>
              </w:rPr>
            </w:pPr>
            <w:r w:rsidRPr="00601225">
              <w:rPr>
                <w:rFonts w:cstheme="minorHAnsi"/>
              </w:rPr>
              <w:t>Compliance focus</w:t>
            </w:r>
          </w:p>
        </w:tc>
        <w:tc>
          <w:tcPr>
            <w:tcW w:w="2643" w:type="dxa"/>
          </w:tcPr>
          <w:p w14:paraId="111851BB" w14:textId="392C4FDB" w:rsidR="002B4548" w:rsidRPr="00100DE1" w:rsidRDefault="004642C4" w:rsidP="001F1C79">
            <w:pPr>
              <w:cnfStyle w:val="000000000000" w:firstRow="0" w:lastRow="0" w:firstColumn="0" w:lastColumn="0" w:oddVBand="0" w:evenVBand="0" w:oddHBand="0" w:evenHBand="0" w:firstRowFirstColumn="0" w:firstRowLastColumn="0" w:lastRowFirstColumn="0" w:lastRowLastColumn="0"/>
            </w:pPr>
            <w:r w:rsidRPr="004642C4">
              <w:t>Comparable tested and non-tested vehicles.</w:t>
            </w:r>
          </w:p>
        </w:tc>
        <w:tc>
          <w:tcPr>
            <w:tcW w:w="2642" w:type="dxa"/>
          </w:tcPr>
          <w:p w14:paraId="6D042B6D" w14:textId="65344CC0" w:rsidR="002B4548" w:rsidRPr="00601225" w:rsidRDefault="002C3BB2" w:rsidP="001F1C79">
            <w:pPr>
              <w:cnfStyle w:val="000000000000" w:firstRow="0" w:lastRow="0" w:firstColumn="0" w:lastColumn="0" w:oddVBand="0" w:evenVBand="0" w:oddHBand="0" w:evenHBand="0" w:firstRowFirstColumn="0" w:firstRowLastColumn="0" w:lastRowFirstColumn="0" w:lastRowLastColumn="0"/>
              <w:rPr>
                <w:rFonts w:cstheme="minorHAnsi"/>
              </w:rPr>
            </w:pPr>
            <w:r w:rsidRPr="002C3BB2">
              <w:rPr>
                <w:rFonts w:cstheme="minorHAnsi"/>
              </w:rPr>
              <w:t>Valid interpolation family and technical limits.</w:t>
            </w:r>
          </w:p>
        </w:tc>
        <w:tc>
          <w:tcPr>
            <w:tcW w:w="2747" w:type="dxa"/>
          </w:tcPr>
          <w:p w14:paraId="5402F327" w14:textId="4FE5535F" w:rsidR="002B4548" w:rsidRPr="002B4548" w:rsidRDefault="00760028" w:rsidP="00F3089A">
            <w:pPr>
              <w:cnfStyle w:val="000000000000" w:firstRow="0" w:lastRow="0" w:firstColumn="0" w:lastColumn="0" w:oddVBand="0" w:evenVBand="0" w:oddHBand="0" w:evenHBand="0" w:firstRowFirstColumn="0" w:firstRowLastColumn="0" w:lastRowFirstColumn="0" w:lastRowLastColumn="0"/>
            </w:pPr>
            <w:r w:rsidRPr="00760028">
              <w:t>Representative value for vehicle or group.</w:t>
            </w:r>
          </w:p>
        </w:tc>
      </w:tr>
    </w:tbl>
    <w:p w14:paraId="530C3D73" w14:textId="3F762BD5" w:rsidR="001E7F9C" w:rsidRDefault="000B2837" w:rsidP="001F1C79">
      <w:r w:rsidRPr="000B2837">
        <w:t>The following table provides examples of an ADR used for a potential scenario and the likely treatment. These examples do not cover all potential scenarios.</w:t>
      </w:r>
    </w:p>
    <w:tbl>
      <w:tblPr>
        <w:tblStyle w:val="DefaultTable1"/>
        <w:tblW w:w="0" w:type="auto"/>
        <w:tblLook w:val="04A0" w:firstRow="1" w:lastRow="0" w:firstColumn="1" w:lastColumn="0" w:noHBand="0" w:noVBand="1"/>
      </w:tblPr>
      <w:tblGrid>
        <w:gridCol w:w="1560"/>
        <w:gridCol w:w="4147"/>
        <w:gridCol w:w="4147"/>
      </w:tblGrid>
      <w:tr w:rsidR="00A30CC3" w14:paraId="2062488A" w14:textId="77777777" w:rsidTr="0019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E3893C9" w14:textId="387CB1EC" w:rsidR="00A30CC3" w:rsidRPr="00A30CC3" w:rsidRDefault="00A30CC3" w:rsidP="001F1C79">
            <w:pPr>
              <w:rPr>
                <w:bCs/>
              </w:rPr>
            </w:pPr>
            <w:r w:rsidRPr="00A30CC3">
              <w:rPr>
                <w:bCs/>
              </w:rPr>
              <w:t>ADR</w:t>
            </w:r>
          </w:p>
        </w:tc>
        <w:tc>
          <w:tcPr>
            <w:tcW w:w="4147" w:type="dxa"/>
          </w:tcPr>
          <w:p w14:paraId="5B8A9129" w14:textId="398D7EAF" w:rsidR="00A30CC3" w:rsidRDefault="00A30CC3" w:rsidP="001F1C79">
            <w:pPr>
              <w:cnfStyle w:val="100000000000" w:firstRow="1" w:lastRow="0" w:firstColumn="0" w:lastColumn="0" w:oddVBand="0" w:evenVBand="0" w:oddHBand="0" w:evenHBand="0" w:firstRowFirstColumn="0" w:firstRowLastColumn="0" w:lastRowFirstColumn="0" w:lastRowLastColumn="0"/>
            </w:pPr>
            <w:r>
              <w:t>Example scenario</w:t>
            </w:r>
          </w:p>
        </w:tc>
        <w:tc>
          <w:tcPr>
            <w:tcW w:w="4147" w:type="dxa"/>
          </w:tcPr>
          <w:p w14:paraId="6DEFB792" w14:textId="1B223FC1" w:rsidR="00A30CC3" w:rsidRDefault="00A30CC3" w:rsidP="001F1C79">
            <w:pPr>
              <w:cnfStyle w:val="100000000000" w:firstRow="1" w:lastRow="0" w:firstColumn="0" w:lastColumn="0" w:oddVBand="0" w:evenVBand="0" w:oddHBand="0" w:evenHBand="0" w:firstRowFirstColumn="0" w:firstRowLastColumn="0" w:lastRowFirstColumn="0" w:lastRowLastColumn="0"/>
            </w:pPr>
            <w:r>
              <w:t>Likely treatment</w:t>
            </w:r>
          </w:p>
        </w:tc>
      </w:tr>
      <w:tr w:rsidR="00A30CC3" w14:paraId="4B470D03" w14:textId="77777777" w:rsidTr="0019614B">
        <w:tc>
          <w:tcPr>
            <w:cnfStyle w:val="001000000000" w:firstRow="0" w:lastRow="0" w:firstColumn="1" w:lastColumn="0" w:oddVBand="0" w:evenVBand="0" w:oddHBand="0" w:evenHBand="0" w:firstRowFirstColumn="0" w:firstRowLastColumn="0" w:lastRowFirstColumn="0" w:lastRowLastColumn="0"/>
            <w:tcW w:w="1560" w:type="dxa"/>
          </w:tcPr>
          <w:p w14:paraId="75858A34" w14:textId="7AED70A6" w:rsidR="00A30CC3" w:rsidRDefault="00CC52E9" w:rsidP="001F1C79">
            <w:r w:rsidRPr="00CC52E9">
              <w:t>ADR 81/02</w:t>
            </w:r>
          </w:p>
        </w:tc>
        <w:tc>
          <w:tcPr>
            <w:tcW w:w="4147" w:type="dxa"/>
          </w:tcPr>
          <w:p w14:paraId="1F13F650" w14:textId="3B5E2DBD" w:rsidR="00A30CC3" w:rsidRDefault="0019614B" w:rsidP="001F1C79">
            <w:pPr>
              <w:cnfStyle w:val="000000000000" w:firstRow="0" w:lastRow="0" w:firstColumn="0" w:lastColumn="0" w:oddVBand="0" w:evenVBand="0" w:oddHBand="0" w:evenHBand="0" w:firstRowFirstColumn="0" w:firstRowLastColumn="0" w:lastRowFirstColumn="0" w:lastRowLastColumn="0"/>
            </w:pPr>
            <w:r w:rsidRPr="0019614B">
              <w:t>A light vehicle variant that has a VTA approval prior to July 2026 is not directly tested but is materially similar to a tested variant, with only minor equipment or configuration differences.</w:t>
            </w:r>
          </w:p>
        </w:tc>
        <w:tc>
          <w:tcPr>
            <w:tcW w:w="4147" w:type="dxa"/>
          </w:tcPr>
          <w:p w14:paraId="5BDD13A2" w14:textId="38344222" w:rsidR="00A30CC3" w:rsidRDefault="00E108C2" w:rsidP="001F1C79">
            <w:pPr>
              <w:cnfStyle w:val="000000000000" w:firstRow="0" w:lastRow="0" w:firstColumn="0" w:lastColumn="0" w:oddVBand="0" w:evenVBand="0" w:oddHBand="0" w:evenHBand="0" w:firstRowFirstColumn="0" w:firstRowLastColumn="0" w:lastRowFirstColumn="0" w:lastRowLastColumn="0"/>
            </w:pPr>
            <w:r w:rsidRPr="00E108C2">
              <w:t>The tested value may be applied if the entity can demonstrate the non-tested vehicle would achieve a comparable result, having regard to design and operation.</w:t>
            </w:r>
          </w:p>
        </w:tc>
      </w:tr>
      <w:tr w:rsidR="00A30CC3" w14:paraId="66A58866" w14:textId="77777777" w:rsidTr="001961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FCAF9C9" w14:textId="67A24817" w:rsidR="00A30CC3" w:rsidRDefault="006F3111" w:rsidP="001F1C79">
            <w:r w:rsidRPr="006F3111">
              <w:t>ADR 81/03</w:t>
            </w:r>
          </w:p>
        </w:tc>
        <w:tc>
          <w:tcPr>
            <w:tcW w:w="4147" w:type="dxa"/>
          </w:tcPr>
          <w:p w14:paraId="28DDA216" w14:textId="3F318844" w:rsidR="00A30CC3" w:rsidRDefault="00B45D43" w:rsidP="001F1C79">
            <w:pPr>
              <w:cnfStyle w:val="000000010000" w:firstRow="0" w:lastRow="0" w:firstColumn="0" w:lastColumn="0" w:oddVBand="0" w:evenVBand="0" w:oddHBand="0" w:evenHBand="1" w:firstRowFirstColumn="0" w:firstRowLastColumn="0" w:lastRowFirstColumn="0" w:lastRowLastColumn="0"/>
            </w:pPr>
            <w:r w:rsidRPr="00B45D43">
              <w:t>A light vehicle with an approval after June 2026 falls between the tested low and high vehicles in a valid interpolation family under the ADR 111/00 test framework.</w:t>
            </w:r>
          </w:p>
        </w:tc>
        <w:tc>
          <w:tcPr>
            <w:tcW w:w="4147" w:type="dxa"/>
          </w:tcPr>
          <w:p w14:paraId="599FE874" w14:textId="7FCBA5BF" w:rsidR="00A30CC3" w:rsidRDefault="009C6C39" w:rsidP="001F1C79">
            <w:pPr>
              <w:cnfStyle w:val="000000010000" w:firstRow="0" w:lastRow="0" w:firstColumn="0" w:lastColumn="0" w:oddVBand="0" w:evenVBand="0" w:oddHBand="0" w:evenHBand="1" w:firstRowFirstColumn="0" w:firstRowLastColumn="0" w:lastRowFirstColumn="0" w:lastRowLastColumn="0"/>
            </w:pPr>
            <w:r w:rsidRPr="009C6C39">
              <w:t>The CO₂ value should be determined using the formal interpolation method, provided the family criteria and technical limits are satisfied.</w:t>
            </w:r>
          </w:p>
        </w:tc>
      </w:tr>
      <w:tr w:rsidR="00A30CC3" w14:paraId="1180AE64" w14:textId="77777777" w:rsidTr="0019614B">
        <w:tc>
          <w:tcPr>
            <w:cnfStyle w:val="001000000000" w:firstRow="0" w:lastRow="0" w:firstColumn="1" w:lastColumn="0" w:oddVBand="0" w:evenVBand="0" w:oddHBand="0" w:evenHBand="0" w:firstRowFirstColumn="0" w:firstRowLastColumn="0" w:lastRowFirstColumn="0" w:lastRowLastColumn="0"/>
            <w:tcW w:w="1560" w:type="dxa"/>
          </w:tcPr>
          <w:p w14:paraId="776E9E39" w14:textId="1805F1F6" w:rsidR="00A30CC3" w:rsidRDefault="00703A05" w:rsidP="001F1C79">
            <w:r w:rsidRPr="00703A05">
              <w:t>ADR 114/00</w:t>
            </w:r>
          </w:p>
        </w:tc>
        <w:tc>
          <w:tcPr>
            <w:tcW w:w="4147" w:type="dxa"/>
          </w:tcPr>
          <w:p w14:paraId="69B8E37F" w14:textId="12C15AFE" w:rsidR="00A30CC3" w:rsidRDefault="00F63AD6" w:rsidP="001F1C79">
            <w:pPr>
              <w:cnfStyle w:val="000000000000" w:firstRow="0" w:lastRow="0" w:firstColumn="0" w:lastColumn="0" w:oddVBand="0" w:evenVBand="0" w:oddHBand="0" w:evenHBand="0" w:firstRowFirstColumn="0" w:firstRowLastColumn="0" w:lastRowFirstColumn="0" w:lastRowLastColumn="0"/>
            </w:pPr>
            <w:r w:rsidRPr="00F63AD6">
              <w:t>A vehicle over 3.5</w:t>
            </w:r>
            <w:r w:rsidR="00C54AC7">
              <w:t xml:space="preserve"> </w:t>
            </w:r>
            <w:r w:rsidRPr="00F63AD6">
              <w:t>t but below 3.855</w:t>
            </w:r>
            <w:r w:rsidR="00C54AC7">
              <w:t xml:space="preserve"> </w:t>
            </w:r>
            <w:r w:rsidRPr="00F63AD6">
              <w:t>t GVM, and submitted on RAV after 1 July 2027, is not directly tested but is closely related to tested vehicles in the same product line.</w:t>
            </w:r>
          </w:p>
        </w:tc>
        <w:tc>
          <w:tcPr>
            <w:tcW w:w="4147" w:type="dxa"/>
          </w:tcPr>
          <w:p w14:paraId="74FC6376" w14:textId="4276E3F1" w:rsidR="00A30CC3" w:rsidRDefault="00FE4420" w:rsidP="001F1C79">
            <w:pPr>
              <w:cnfStyle w:val="000000000000" w:firstRow="0" w:lastRow="0" w:firstColumn="0" w:lastColumn="0" w:oddVBand="0" w:evenVBand="0" w:oddHBand="0" w:evenHBand="0" w:firstRowFirstColumn="0" w:firstRowLastColumn="0" w:lastRowFirstColumn="0" w:lastRowLastColumn="0"/>
            </w:pPr>
            <w:r w:rsidRPr="00FE4420">
              <w:t>A tested, derived, representative or conservative value may be used where the entity can justify that it reasonably represents the vehicle’s CO₂ emissions.</w:t>
            </w:r>
          </w:p>
        </w:tc>
      </w:tr>
    </w:tbl>
    <w:p w14:paraId="6830BCBD" w14:textId="3CA6B7D2" w:rsidR="00F7030B" w:rsidRDefault="00F7030B" w:rsidP="00F7030B">
      <w:r w:rsidRPr="00F7030B">
        <w:rPr>
          <w:b/>
          <w:bCs/>
        </w:rPr>
        <w:t>Important:</w:t>
      </w:r>
      <w:r w:rsidRPr="00F7030B">
        <w:t xml:space="preserve"> In all cases, the entity should be able to demonstrate that any extended CO₂ value is representative of the vehicles within that range, including any vehicle expected to produce higher CO₂ emissions.</w:t>
      </w:r>
    </w:p>
    <w:p w14:paraId="2359223E" w14:textId="6550CF62" w:rsidR="00270F19" w:rsidRDefault="00270F19" w:rsidP="00270F19">
      <w:pPr>
        <w:pStyle w:val="Heading3"/>
      </w:pPr>
      <w:r>
        <w:t>Step 3: Apply the conversion procedure if CO</w:t>
      </w:r>
      <w:r w:rsidRPr="00DE55A4">
        <w:rPr>
          <w:vertAlign w:val="subscript"/>
        </w:rPr>
        <w:t>2</w:t>
      </w:r>
      <w:r>
        <w:t xml:space="preserve"> values are not NEDC-equivalent </w:t>
      </w:r>
    </w:p>
    <w:p w14:paraId="2D8370E0" w14:textId="77777777" w:rsidR="00270F19" w:rsidRDefault="00270F19" w:rsidP="00270F19">
      <w:r>
        <w:t xml:space="preserve">The NVES currently uses NEDC values that are based on ADR 81/02 testing procedures. As newer test procedures are introduced, more vehicles will be tested to newer WLTP test procedures. To allow for this, </w:t>
      </w:r>
      <w:r>
        <w:lastRenderedPageBreak/>
        <w:t xml:space="preserve">interim certification procedures have been made for WLTP tested vehicles that have been granted a type of approval with minor and inconsequential non-compliance to ADR 81/02. </w:t>
      </w:r>
    </w:p>
    <w:p w14:paraId="268E1EBD" w14:textId="18105A47" w:rsidR="00270F19" w:rsidRDefault="00270F19" w:rsidP="00270F19">
      <w:r>
        <w:t>For vehicles covered by ADR 81/03 or testing protocol other than NEDC, entities must submit an NEDC-equivalent CO</w:t>
      </w:r>
      <w:r w:rsidRPr="00DE55A4">
        <w:rPr>
          <w:vertAlign w:val="subscript"/>
        </w:rPr>
        <w:t xml:space="preserve">2 </w:t>
      </w:r>
      <w:r>
        <w:t xml:space="preserve">value to the RAV, even though vehicle label values are measured using WLTP or an equivalent US standard. The entity must calculate the NEDC-equivalent value using Appendix B of ADR 81/03. Plug-in hybrid electric vehicles require an additional adjustment to account for electric-only driving capability. Refer to the department’s </w:t>
      </w:r>
      <w:hyperlink r:id="rId21" w:history="1">
        <w:r w:rsidRPr="009A3B70">
          <w:rPr>
            <w:rStyle w:val="Hyperlink"/>
          </w:rPr>
          <w:t xml:space="preserve">Guidance </w:t>
        </w:r>
        <w:proofErr w:type="gramStart"/>
        <w:r w:rsidRPr="009A3B70">
          <w:rPr>
            <w:rStyle w:val="Hyperlink"/>
          </w:rPr>
          <w:t>note</w:t>
        </w:r>
        <w:proofErr w:type="gramEnd"/>
        <w:r w:rsidRPr="009A3B70">
          <w:rPr>
            <w:rStyle w:val="Hyperlink"/>
          </w:rPr>
          <w:t xml:space="preserve"> – Calculation of carbon dioxide emissions values for the Register of Approved Vehicles</w:t>
        </w:r>
      </w:hyperlink>
      <w:r>
        <w:t xml:space="preserve"> for more information, including records that should be kept.</w:t>
      </w:r>
    </w:p>
    <w:p w14:paraId="353DF893" w14:textId="5377B859" w:rsidR="00270F19" w:rsidRDefault="00270F19" w:rsidP="00270F19">
      <w:r>
        <w:t xml:space="preserve">These conversion requirements will remain in place until the end of 2029. Future </w:t>
      </w:r>
      <w:hyperlink r:id="rId22" w:history="1">
        <w:r w:rsidRPr="00336517">
          <w:rPr>
            <w:rStyle w:val="Hyperlink"/>
          </w:rPr>
          <w:t>NVES emissions targets</w:t>
        </w:r>
      </w:hyperlink>
      <w:r>
        <w:t xml:space="preserve"> (for 2030 and beyond) will be based on the test procedures mandated by the ADRs at that time.</w:t>
      </w:r>
    </w:p>
    <w:p w14:paraId="2575F6EC" w14:textId="77777777" w:rsidR="00270F19" w:rsidRDefault="00270F19" w:rsidP="00270F19">
      <w:pPr>
        <w:pStyle w:val="Heading3"/>
      </w:pPr>
      <w:r>
        <w:t>Step 4: Keep records and maintain data quality</w:t>
      </w:r>
    </w:p>
    <w:p w14:paraId="398E7535" w14:textId="77777777" w:rsidR="00270F19" w:rsidRPr="00513CB5" w:rsidRDefault="00270F19" w:rsidP="00270F19">
      <w:pPr>
        <w:rPr>
          <w:b/>
          <w:bCs/>
        </w:rPr>
      </w:pPr>
      <w:r w:rsidRPr="00513CB5">
        <w:rPr>
          <w:b/>
          <w:bCs/>
        </w:rPr>
        <w:t>Record-keeping and documentation</w:t>
      </w:r>
    </w:p>
    <w:p w14:paraId="293331F2" w14:textId="77777777" w:rsidR="00270F19" w:rsidRDefault="00270F19" w:rsidP="00270F19">
      <w:r>
        <w:t>Where CO</w:t>
      </w:r>
      <w:r w:rsidRPr="00DE55A4">
        <w:rPr>
          <w:vertAlign w:val="subscript"/>
        </w:rPr>
        <w:t>2</w:t>
      </w:r>
      <w:r>
        <w:t xml:space="preserve"> values have been determined, entities need to document assumptions, conversions, interpolation steps or calculations that were used to derive CO</w:t>
      </w:r>
      <w:r w:rsidRPr="00DE55A4">
        <w:rPr>
          <w:vertAlign w:val="subscript"/>
        </w:rPr>
        <w:t>2</w:t>
      </w:r>
      <w:r>
        <w:t xml:space="preserve"> values.</w:t>
      </w:r>
    </w:p>
    <w:p w14:paraId="2C0FD387" w14:textId="6D3D3759" w:rsidR="00270F19" w:rsidRDefault="00270F19" w:rsidP="00270F19">
      <w:r>
        <w:t xml:space="preserve">Under the </w:t>
      </w:r>
      <w:hyperlink r:id="rId23" w:history="1">
        <w:r w:rsidRPr="006B5C8A">
          <w:rPr>
            <w:rStyle w:val="Hyperlink"/>
            <w:i/>
            <w:iCs/>
          </w:rPr>
          <w:t>Road Vehicle Standards Act 2018</w:t>
        </w:r>
      </w:hyperlink>
      <w:r>
        <w:t>, regulated entities must ensure that information entered on the RAV, including NVES-specific data, is true and correct. Keeping up-to-date supporting information is also required under section 30 of the Rules.</w:t>
      </w:r>
    </w:p>
    <w:p w14:paraId="6969C612" w14:textId="77777777" w:rsidR="00513CB5" w:rsidRDefault="00270F19" w:rsidP="00270F19">
      <w:r>
        <w:t>Good record-keeping provides other benefits, including:</w:t>
      </w:r>
    </w:p>
    <w:p w14:paraId="2D53A21E" w14:textId="77777777" w:rsidR="00513CB5" w:rsidRDefault="00270F19" w:rsidP="00513CB5">
      <w:pPr>
        <w:pStyle w:val="Bullet1"/>
      </w:pPr>
      <w:r>
        <w:t>Providing evidence to demonstrate compliance if the NVES Regulator asks questions about data assurance.</w:t>
      </w:r>
    </w:p>
    <w:p w14:paraId="2C8D7A97" w14:textId="7CE6623C" w:rsidR="00270F19" w:rsidRDefault="00270F19" w:rsidP="00513CB5">
      <w:pPr>
        <w:pStyle w:val="Bullet1"/>
      </w:pPr>
      <w:r>
        <w:t>Supporting data integrity and consistency when staff, systems or approval arrangements change.</w:t>
      </w:r>
    </w:p>
    <w:p w14:paraId="71B0054A" w14:textId="77777777" w:rsidR="003D4E51" w:rsidRPr="003D4E51" w:rsidRDefault="003D4E51" w:rsidP="003D4E51">
      <w:pPr>
        <w:rPr>
          <w:b/>
          <w:bCs/>
        </w:rPr>
      </w:pPr>
      <w:r w:rsidRPr="003D4E51">
        <w:rPr>
          <w:b/>
          <w:bCs/>
        </w:rPr>
        <w:t>Data quality checks</w:t>
      </w:r>
    </w:p>
    <w:p w14:paraId="1E44414A" w14:textId="77777777" w:rsidR="003D4E51" w:rsidRDefault="003D4E51" w:rsidP="003D4E51">
      <w:r>
        <w:t>Before submitting vehicles to the RAV, entities should complete internal checks to confirm that the data is correct. This includes checking:</w:t>
      </w:r>
    </w:p>
    <w:p w14:paraId="032EA2AF" w14:textId="77777777" w:rsidR="003D4E51" w:rsidRDefault="003D4E51" w:rsidP="003D4E51">
      <w:pPr>
        <w:pStyle w:val="Bullet1"/>
      </w:pPr>
      <w:r>
        <w:t>model and variant identifiers</w:t>
      </w:r>
    </w:p>
    <w:p w14:paraId="09B3DDD7" w14:textId="7786A32B" w:rsidR="003D4E51" w:rsidRDefault="003D4E51" w:rsidP="003D4E51">
      <w:pPr>
        <w:pStyle w:val="Bullet1"/>
      </w:pPr>
      <w:r>
        <w:t>consistency between the submitted CO</w:t>
      </w:r>
      <w:r w:rsidRPr="00DE55A4">
        <w:rPr>
          <w:vertAlign w:val="subscript"/>
        </w:rPr>
        <w:t>2</w:t>
      </w:r>
      <w:r>
        <w:t xml:space="preserve"> value and the supporting technical material.</w:t>
      </w:r>
    </w:p>
    <w:p w14:paraId="54523A93" w14:textId="77777777" w:rsidR="003D4E51" w:rsidRDefault="003D4E51" w:rsidP="003D4E51">
      <w:r>
        <w:t>Using the correct CO</w:t>
      </w:r>
      <w:r w:rsidRPr="00DE55A4">
        <w:rPr>
          <w:vertAlign w:val="subscript"/>
        </w:rPr>
        <w:t>2</w:t>
      </w:r>
      <w:r>
        <w:t xml:space="preserve"> value for approval material, labelling and RAV entry as appropriate helps maintain a clear, traceable and defensible data record.</w:t>
      </w:r>
    </w:p>
    <w:p w14:paraId="719DFF74" w14:textId="77777777" w:rsidR="003D4E51" w:rsidRDefault="003D4E51" w:rsidP="003D4E51">
      <w:r>
        <w:t>Entities may also choose to engage an audit provider or conduct independent internal assurance to test data quality and identify areas for improvement. This is not mandatory, but it can improve confidence in the accuracy, completeness and traceability of the data that underpins NVES compliance.</w:t>
      </w:r>
    </w:p>
    <w:p w14:paraId="555DEE1D" w14:textId="77777777" w:rsidR="003D4E51" w:rsidRDefault="003D4E51" w:rsidP="003D4E51">
      <w:pPr>
        <w:pStyle w:val="Heading3"/>
      </w:pPr>
      <w:r>
        <w:t>Step 5: Manage transitions between ADRs</w:t>
      </w:r>
    </w:p>
    <w:p w14:paraId="1A4EC689" w14:textId="77777777" w:rsidR="003D4E51" w:rsidRDefault="003D4E51" w:rsidP="003D4E51">
      <w:r>
        <w:t>Entities should understand whether changing ADR requirements apply across their model lines and supply dates. During transitional periods, it is good practice to document:</w:t>
      </w:r>
    </w:p>
    <w:p w14:paraId="67D37A4D" w14:textId="77777777" w:rsidR="003D4E51" w:rsidRDefault="003D4E51" w:rsidP="003D4E51">
      <w:pPr>
        <w:pStyle w:val="Bullet1"/>
      </w:pPr>
      <w:r>
        <w:t>which ADR applies to each affected model line</w:t>
      </w:r>
    </w:p>
    <w:p w14:paraId="0A923999" w14:textId="77777777" w:rsidR="003D4E51" w:rsidRDefault="003D4E51" w:rsidP="003D4E51">
      <w:pPr>
        <w:pStyle w:val="Bullet1"/>
      </w:pPr>
      <w:r>
        <w:t>when a newer requirement is triggered</w:t>
      </w:r>
    </w:p>
    <w:p w14:paraId="39C4976E" w14:textId="509F4E78" w:rsidR="003D4E51" w:rsidRDefault="003D4E51" w:rsidP="003D4E51">
      <w:pPr>
        <w:pStyle w:val="Bullet1"/>
      </w:pPr>
      <w:r>
        <w:t>where an equivalent value or conversion process has been used.</w:t>
      </w:r>
    </w:p>
    <w:p w14:paraId="56691BCC" w14:textId="45F239CB" w:rsidR="003D4E51" w:rsidRDefault="003D4E51" w:rsidP="003D4E51">
      <w:r>
        <w:t>This helps demonstrate compliance, and it supports clear internal processes and defensible records.</w:t>
      </w:r>
    </w:p>
    <w:tbl>
      <w:tblPr>
        <w:tblStyle w:val="IconBoxTable"/>
        <w:tblW w:w="0" w:type="auto"/>
        <w:tblLook w:val="04A0" w:firstRow="1" w:lastRow="0" w:firstColumn="1" w:lastColumn="0" w:noHBand="0" w:noVBand="1"/>
      </w:tblPr>
      <w:tblGrid>
        <w:gridCol w:w="9854"/>
      </w:tblGrid>
      <w:tr w:rsidR="0013014E" w14:paraId="657CE0C1" w14:textId="77777777" w:rsidTr="001301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4" w:type="dxa"/>
          </w:tcPr>
          <w:p w14:paraId="2DA63945" w14:textId="77777777" w:rsidR="0001538B" w:rsidRPr="003777AB" w:rsidRDefault="0001538B" w:rsidP="00124FAC">
            <w:pPr>
              <w:rPr>
                <w:b/>
                <w:bCs/>
                <w:sz w:val="28"/>
                <w:szCs w:val="28"/>
              </w:rPr>
            </w:pPr>
            <w:r w:rsidRPr="003777AB">
              <w:rPr>
                <w:b/>
                <w:bCs/>
                <w:sz w:val="28"/>
                <w:szCs w:val="28"/>
              </w:rPr>
              <w:lastRenderedPageBreak/>
              <w:t>Key transition dates</w:t>
            </w:r>
          </w:p>
          <w:p w14:paraId="5CEFC802" w14:textId="55ED6A93" w:rsidR="0001538B" w:rsidRPr="003777AB" w:rsidRDefault="0001538B" w:rsidP="0001538B">
            <w:pPr>
              <w:rPr>
                <w:b/>
                <w:bCs/>
              </w:rPr>
            </w:pPr>
            <w:r w:rsidRPr="003777AB">
              <w:rPr>
                <w:b/>
                <w:bCs/>
              </w:rPr>
              <w:t>1 July 2026: ADR 81/03 applies to newly approved light vehicle models less than 3.5 t</w:t>
            </w:r>
          </w:p>
          <w:p w14:paraId="75D8DA8D" w14:textId="77777777" w:rsidR="0001538B" w:rsidRDefault="0001538B" w:rsidP="0001538B">
            <w:r>
              <w:t>ADR 81/03 applies to new vehicle models from 1 July 2026. While ADR 81/03 requires testing in accordance with ADR 111/00 (which specifies WLTP testing) or equivalent UN, EU or US standards, entities must submit NEDC-equivalent CO</w:t>
            </w:r>
            <w:r w:rsidRPr="00DE55A4">
              <w:rPr>
                <w:vertAlign w:val="subscript"/>
              </w:rPr>
              <w:t>2</w:t>
            </w:r>
            <w:r>
              <w:t xml:space="preserve"> values determined in accordance with Appendix B of ADR 81/03 for all vehicles entered onto the RAV.</w:t>
            </w:r>
          </w:p>
          <w:p w14:paraId="1B454DA8" w14:textId="79BDC896" w:rsidR="0001538B" w:rsidRPr="003777AB" w:rsidRDefault="0001538B" w:rsidP="0001538B">
            <w:pPr>
              <w:rPr>
                <w:b/>
                <w:bCs/>
              </w:rPr>
            </w:pPr>
            <w:r w:rsidRPr="003777AB">
              <w:rPr>
                <w:b/>
                <w:bCs/>
              </w:rPr>
              <w:t>30 June 2027: ADR 114/00 applies to specified light vehicles more than 3.5 t but under 3.855 t</w:t>
            </w:r>
          </w:p>
          <w:p w14:paraId="4CC0F861" w14:textId="26D94C84" w:rsidR="0001538B" w:rsidRDefault="0001538B" w:rsidP="0001538B">
            <w:r>
              <w:t>For RAV entries from 30 June 2027, entities must submit CO</w:t>
            </w:r>
            <w:r w:rsidRPr="00DE55A4">
              <w:rPr>
                <w:vertAlign w:val="subscript"/>
              </w:rPr>
              <w:t>2</w:t>
            </w:r>
            <w:r>
              <w:t xml:space="preserve"> numbers that have been determined in accordance with ADR 114/00 for all NB1 category vehicles and MA, MB, MC, MD category vehicles with a gross vehicle mass (GVM) that is greater than 3.5 t and less than 3.855 t, unless the vehicle is a ‘work van’ or ‘work truck’. This date applies to both newly released and existing models.</w:t>
            </w:r>
          </w:p>
          <w:p w14:paraId="22056C9E" w14:textId="51B44F4A" w:rsidR="0001538B" w:rsidRDefault="0001538B" w:rsidP="0001538B">
            <w:r>
              <w:t xml:space="preserve">Note that ‘Work trucks’ and ‘work vans’ are NB1 vehicles that, as a percentage of total length, have more space for cargo than for passengers (see sections 4.1 and 4.2 of </w:t>
            </w:r>
            <w:r w:rsidRPr="00802440">
              <w:t>ADR 114/00</w:t>
            </w:r>
            <w:r>
              <w:t>).</w:t>
            </w:r>
          </w:p>
          <w:p w14:paraId="4524B8E6" w14:textId="79592271" w:rsidR="0001538B" w:rsidRPr="003777AB" w:rsidRDefault="0001538B" w:rsidP="0001538B">
            <w:pPr>
              <w:rPr>
                <w:b/>
                <w:bCs/>
              </w:rPr>
            </w:pPr>
            <w:r w:rsidRPr="003777AB">
              <w:rPr>
                <w:b/>
                <w:bCs/>
              </w:rPr>
              <w:t>1 July 2028: ADR 81/03 becomes mandatory for light vehicles up to 3.5 t GVM</w:t>
            </w:r>
          </w:p>
          <w:p w14:paraId="18468C31" w14:textId="6B8B411F" w:rsidR="0013014E" w:rsidRDefault="0001538B" w:rsidP="0001538B">
            <w:r>
              <w:t xml:space="preserve">For RAV entries from 1 July 2028, entities must adhere to ADR 81/03 for </w:t>
            </w:r>
            <w:proofErr w:type="gramStart"/>
            <w:r>
              <w:t>all of</w:t>
            </w:r>
            <w:proofErr w:type="gramEnd"/>
            <w:r>
              <w:t xml:space="preserve"> their light vehicles with a GVM of 3.5 t or less, regardless of the date of vehicle type approval.</w:t>
            </w:r>
          </w:p>
        </w:tc>
      </w:tr>
    </w:tbl>
    <w:p w14:paraId="1F7F8F52" w14:textId="77777777" w:rsidR="00B5606E" w:rsidRDefault="00B5606E" w:rsidP="00B5606E">
      <w:pPr>
        <w:pStyle w:val="Heading2"/>
      </w:pPr>
      <w:r>
        <w:t>When to contact the NVES Regulator</w:t>
      </w:r>
    </w:p>
    <w:p w14:paraId="7BA9EF4A" w14:textId="77777777" w:rsidR="00B5606E" w:rsidRDefault="00B5606E" w:rsidP="00B5606E">
      <w:r>
        <w:t>If you have questions or concerns about the correct basis for a CO</w:t>
      </w:r>
      <w:r w:rsidRPr="00DE55A4">
        <w:rPr>
          <w:vertAlign w:val="subscript"/>
        </w:rPr>
        <w:t>2</w:t>
      </w:r>
      <w:r>
        <w:t xml:space="preserve"> value, we encourage you to contact us before vehicles are entered on the RAV. Contacting us early can reduce delays and avoid the need to correct RAV entries later.</w:t>
      </w:r>
    </w:p>
    <w:p w14:paraId="1D6F24F6" w14:textId="77777777" w:rsidR="00B5606E" w:rsidRDefault="00B5606E" w:rsidP="00B5606E">
      <w:r>
        <w:t xml:space="preserve">How to contact us: </w:t>
      </w:r>
    </w:p>
    <w:p w14:paraId="71D562A1" w14:textId="03794ABC" w:rsidR="00B5606E" w:rsidRDefault="00B5606E" w:rsidP="00B5606E">
      <w:pPr>
        <w:pStyle w:val="Bullet1"/>
      </w:pPr>
      <w:r>
        <w:t xml:space="preserve">Email: </w:t>
      </w:r>
      <w:hyperlink r:id="rId24" w:history="1">
        <w:r w:rsidRPr="001049EC">
          <w:rPr>
            <w:rStyle w:val="Hyperlink"/>
          </w:rPr>
          <w:t>NVESRegulator@infrastructure.gov.au</w:t>
        </w:r>
      </w:hyperlink>
      <w:r>
        <w:br/>
        <w:t xml:space="preserve">Please note we may take up to 3 business days to respond. </w:t>
      </w:r>
    </w:p>
    <w:p w14:paraId="18584C4F" w14:textId="0D07730D" w:rsidR="00B5606E" w:rsidRDefault="00B5606E" w:rsidP="00B5606E">
      <w:pPr>
        <w:pStyle w:val="Bullet1"/>
      </w:pPr>
      <w:r>
        <w:t xml:space="preserve">Phone: 1800 248 610 (if outside Australia: +61 2 6136 9088) </w:t>
      </w:r>
    </w:p>
    <w:p w14:paraId="0E743E61" w14:textId="77777777" w:rsidR="00B5606E" w:rsidRDefault="00B5606E" w:rsidP="00B5606E">
      <w:r>
        <w:t xml:space="preserve">Our phone line is open Monday to Friday 9:00 am to 5:00 pm (Australian Capital Territory time) and closed on public holidays Australia-wide or as observed in the Australian Capital Territory.  </w:t>
      </w:r>
    </w:p>
    <w:p w14:paraId="0870A735" w14:textId="73CA0E66" w:rsidR="00784078" w:rsidRDefault="00B5606E" w:rsidP="008064A7">
      <w:r>
        <w:t xml:space="preserve">For more information about the NVES, you can visit our </w:t>
      </w:r>
      <w:hyperlink r:id="rId25" w:history="1">
        <w:r w:rsidRPr="00703673">
          <w:rPr>
            <w:rStyle w:val="Hyperlink"/>
          </w:rPr>
          <w:t>website</w:t>
        </w:r>
      </w:hyperlink>
      <w:r>
        <w:t xml:space="preserve"> or </w:t>
      </w:r>
      <w:hyperlink r:id="rId26" w:history="1">
        <w:r w:rsidRPr="00703673">
          <w:rPr>
            <w:rStyle w:val="Hyperlink"/>
          </w:rPr>
          <w:t>YouTube playlist</w:t>
        </w:r>
      </w:hyperlink>
      <w:r>
        <w:t xml:space="preserve">. You can also </w:t>
      </w:r>
      <w:hyperlink r:id="rId27" w:history="1">
        <w:r w:rsidRPr="00E736ED">
          <w:rPr>
            <w:rStyle w:val="Hyperlink"/>
          </w:rPr>
          <w:t>subscribe to our newsletter</w:t>
        </w:r>
      </w:hyperlink>
      <w:r>
        <w:t xml:space="preserve"> or follow us on </w:t>
      </w:r>
      <w:hyperlink r:id="rId28" w:history="1">
        <w:r w:rsidRPr="007F7167">
          <w:rPr>
            <w:rStyle w:val="Hyperlink"/>
          </w:rPr>
          <w:t>LinkedIn</w:t>
        </w:r>
      </w:hyperlink>
      <w:r>
        <w:t xml:space="preserve"> to keep updated.</w:t>
      </w:r>
      <w:bookmarkEnd w:id="0"/>
      <w:bookmarkEnd w:id="1"/>
    </w:p>
    <w:sectPr w:rsidR="00784078" w:rsidSect="00D2335F">
      <w:headerReference w:type="even" r:id="rId29"/>
      <w:footerReference w:type="even" r:id="rId30"/>
      <w:footerReference w:type="default" r:id="rId31"/>
      <w:headerReference w:type="first" r:id="rId32"/>
      <w:footerReference w:type="first" r:id="rId33"/>
      <w:type w:val="continuous"/>
      <w:pgSz w:w="11906" w:h="16838" w:code="9"/>
      <w:pgMar w:top="1021" w:right="1021" w:bottom="1021" w:left="1021"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5B59A" w14:textId="77777777" w:rsidR="006C2D7A" w:rsidRDefault="006C2D7A" w:rsidP="008456D5">
      <w:pPr>
        <w:spacing w:before="0" w:after="0"/>
      </w:pPr>
      <w:r>
        <w:separator/>
      </w:r>
    </w:p>
  </w:endnote>
  <w:endnote w:type="continuationSeparator" w:id="0">
    <w:p w14:paraId="3A47535A" w14:textId="77777777" w:rsidR="006C2D7A" w:rsidRDefault="006C2D7A"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panose1 w:val="00000000000000000000"/>
    <w:charset w:val="00"/>
    <w:family w:val="roman"/>
    <w:notTrueType/>
    <w:pitch w:val="default"/>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B199" w14:textId="2D2BD2DA" w:rsidR="00180B5B" w:rsidRDefault="004027B2" w:rsidP="00180B5B">
    <w:pPr>
      <w:pStyle w:val="Footer"/>
      <w:spacing w:before="720"/>
      <w:jc w:val="right"/>
    </w:pPr>
    <w:r>
      <w:rPr>
        <w:noProof/>
        <w:lang w:eastAsia="en-AU"/>
      </w:rPr>
      <mc:AlternateContent>
        <mc:Choice Requires="wps">
          <w:drawing>
            <wp:anchor distT="0" distB="0" distL="0" distR="0" simplePos="0" relativeHeight="251659264" behindDoc="0" locked="0" layoutInCell="1" allowOverlap="1" wp14:anchorId="0544BAF5" wp14:editId="7E166949">
              <wp:simplePos x="635" y="635"/>
              <wp:positionH relativeFrom="page">
                <wp:align>center</wp:align>
              </wp:positionH>
              <wp:positionV relativeFrom="page">
                <wp:align>bottom</wp:align>
              </wp:positionV>
              <wp:extent cx="726440" cy="509270"/>
              <wp:effectExtent l="0" t="0" r="16510" b="0"/>
              <wp:wrapNone/>
              <wp:docPr id="187143021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4ECB586F" w14:textId="6A0C7D27" w:rsidR="004027B2" w:rsidRPr="004027B2" w:rsidRDefault="004027B2" w:rsidP="004027B2">
                          <w:pPr>
                            <w:spacing w:after="0"/>
                            <w:rPr>
                              <w:rFonts w:ascii="Aptos" w:eastAsia="Aptos" w:hAnsi="Aptos" w:cs="Aptos"/>
                              <w:noProof/>
                              <w:color w:val="FF0000"/>
                              <w:sz w:val="28"/>
                              <w:szCs w:val="28"/>
                            </w:rPr>
                          </w:pPr>
                          <w:r w:rsidRPr="004027B2">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44BAF5" id="_x0000_t202" coordsize="21600,21600" o:spt="202" path="m,l,21600r21600,l21600,xe">
              <v:stroke joinstyle="miter"/>
              <v:path gradientshapeok="t" o:connecttype="rect"/>
            </v:shapetype>
            <v:shape id="Text Box 5" o:spid="_x0000_s1027" type="#_x0000_t202" alt="OFFICIAL" style="position:absolute;left:0;text-align:left;margin-left:0;margin-top:0;width:57.2pt;height:40.1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" filled="f" stroked="f">
              <v:textbox style="mso-fit-shape-to-text:t" inset="0,0,0,15pt">
                <w:txbxContent>
                  <w:p w14:paraId="4ECB586F" w14:textId="6A0C7D27" w:rsidR="004027B2" w:rsidRPr="004027B2" w:rsidRDefault="004027B2" w:rsidP="004027B2">
                    <w:pPr>
                      <w:spacing w:after="0"/>
                      <w:rPr>
                        <w:rFonts w:ascii="Aptos" w:eastAsia="Aptos" w:hAnsi="Aptos" w:cs="Aptos"/>
                        <w:noProof/>
                        <w:color w:val="FF0000"/>
                        <w:sz w:val="28"/>
                        <w:szCs w:val="28"/>
                      </w:rPr>
                    </w:pPr>
                    <w:r w:rsidRPr="004027B2">
                      <w:rPr>
                        <w:rFonts w:ascii="Aptos" w:eastAsia="Aptos" w:hAnsi="Aptos" w:cs="Aptos"/>
                        <w:noProof/>
                        <w:color w:val="FF0000"/>
                        <w:sz w:val="28"/>
                        <w:szCs w:val="28"/>
                      </w:rPr>
                      <w:t>OFFICIAL</w:t>
                    </w:r>
                  </w:p>
                </w:txbxContent>
              </v:textbox>
              <w10:wrap anchorx="page" anchory="page"/>
            </v:shape>
          </w:pict>
        </mc:Fallback>
      </mc:AlternateContent>
    </w:r>
    <w:r w:rsidR="00180B5B">
      <w:rPr>
        <w:noProof/>
        <w:lang w:eastAsia="en-AU"/>
      </w:rPr>
      <mc:AlternateContent>
        <mc:Choice Requires="wps">
          <w:drawing>
            <wp:inline distT="0" distB="0" distL="0" distR="0" wp14:anchorId="7DFCE627" wp14:editId="6A1661B9">
              <wp:extent cx="1007280" cy="539280"/>
              <wp:effectExtent l="0" t="0" r="2540" b="0"/>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341A3E05" w14:textId="77777777" w:rsidR="00180B5B" w:rsidRPr="007A05BE" w:rsidRDefault="00180B5B"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inline>
          </w:drawing>
        </mc:Choice>
        <mc:Fallback>
          <w:pict>
            <v:shape w14:anchorId="7DFCE627" id="Text Box 16" o:spid="_x0000_s1028" type="#_x0000_t202" alt="&quot;&quot;" style="width:79.3pt;height:42.4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" filled="f" stroked="f" strokeweight=".5pt">
              <v:textbox inset="18mm,0,0,10mm">
                <w:txbxContent>
                  <w:p w14:paraId="341A3E05" w14:textId="77777777" w:rsidR="00180B5B" w:rsidRPr="007A05BE" w:rsidRDefault="00180B5B"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anchorlock/>
            </v:shape>
          </w:pict>
        </mc:Fallback>
      </mc:AlternateContent>
    </w:r>
  </w:p>
  <w:p w14:paraId="764BFADE" w14:textId="77777777" w:rsidR="00C15F0D" w:rsidRDefault="00C15F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D4507" w14:textId="551014DA" w:rsidR="00AB3238" w:rsidRDefault="004027B2" w:rsidP="00AB3238">
    <w:pPr>
      <w:framePr w:w="11907" w:h="284" w:hSpace="181" w:wrap="around" w:vAnchor="page" w:hAnchor="page" w:yAlign="bottom"/>
      <w:spacing w:before="0" w:after="0"/>
    </w:pPr>
    <w:r>
      <w:rPr>
        <w:noProof/>
      </w:rPr>
      <mc:AlternateContent>
        <mc:Choice Requires="wps">
          <w:drawing>
            <wp:anchor distT="0" distB="0" distL="0" distR="0" simplePos="0" relativeHeight="251660288" behindDoc="0" locked="0" layoutInCell="1" allowOverlap="1" wp14:anchorId="64FCD95E" wp14:editId="2C287A02">
              <wp:simplePos x="635" y="10512425"/>
              <wp:positionH relativeFrom="page">
                <wp:align>center</wp:align>
              </wp:positionH>
              <wp:positionV relativeFrom="page">
                <wp:align>bottom</wp:align>
              </wp:positionV>
              <wp:extent cx="726440" cy="509270"/>
              <wp:effectExtent l="0" t="0" r="16510" b="0"/>
              <wp:wrapNone/>
              <wp:docPr id="203644844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39937CFB" w14:textId="6A2E747C" w:rsidR="004027B2" w:rsidRPr="004027B2" w:rsidRDefault="004027B2" w:rsidP="004027B2">
                          <w:pPr>
                            <w:spacing w:after="0"/>
                            <w:rPr>
                              <w:rFonts w:ascii="Aptos" w:eastAsia="Aptos" w:hAnsi="Aptos" w:cs="Aptos"/>
                              <w:noProof/>
                              <w:color w:val="FF0000"/>
                              <w:sz w:val="28"/>
                              <w:szCs w:val="28"/>
                            </w:rPr>
                          </w:pPr>
                          <w:r w:rsidRPr="004027B2">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FCD95E" id="_x0000_t202" coordsize="21600,21600" o:spt="202" path="m,l,21600r21600,l21600,xe">
              <v:stroke joinstyle="miter"/>
              <v:path gradientshapeok="t" o:connecttype="rect"/>
            </v:shapetype>
            <v:shape id="Text Box 6" o:spid="_x0000_s1029" type="#_x0000_t202" alt="OFFICIAL" style="position:absolute;margin-left:0;margin-top:0;width:57.2pt;height:40.1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u7s3hQ4CAAAc&#10;BAAADgAAAAAAAAAAAAAAAAAuAgAAZHJzL2Uyb0RvYy54bWxQSwECLQAUAAYACAAAACEAfWlRRtsA&#10;AAAEAQAADwAAAAAAAAAAAAAAAABoBAAAZHJzL2Rvd25yZXYueG1sUEsFBgAAAAAEAAQA8wAAAHAF&#10;AAAAAA==&#10;" filled="f" stroked="f">
              <v:textbox style="mso-fit-shape-to-text:t" inset="0,0,0,15pt">
                <w:txbxContent>
                  <w:p w14:paraId="39937CFB" w14:textId="6A2E747C" w:rsidR="004027B2" w:rsidRPr="004027B2" w:rsidRDefault="004027B2" w:rsidP="004027B2">
                    <w:pPr>
                      <w:spacing w:after="0"/>
                      <w:rPr>
                        <w:rFonts w:ascii="Aptos" w:eastAsia="Aptos" w:hAnsi="Aptos" w:cs="Aptos"/>
                        <w:noProof/>
                        <w:color w:val="FF0000"/>
                        <w:sz w:val="28"/>
                        <w:szCs w:val="28"/>
                      </w:rPr>
                    </w:pPr>
                    <w:r w:rsidRPr="004027B2">
                      <w:rPr>
                        <w:rFonts w:ascii="Aptos" w:eastAsia="Aptos" w:hAnsi="Aptos" w:cs="Aptos"/>
                        <w:noProof/>
                        <w:color w:val="FF0000"/>
                        <w:sz w:val="28"/>
                        <w:szCs w:val="28"/>
                      </w:rPr>
                      <w:t>OFFICIAL</w:t>
                    </w:r>
                  </w:p>
                </w:txbxContent>
              </v:textbox>
              <w10:wrap anchorx="page" anchory="page"/>
            </v:shape>
          </w:pict>
        </mc:Fallback>
      </mc:AlternateContent>
    </w:r>
    <w:r w:rsidR="00AB3238">
      <w:rPr>
        <w:noProof/>
      </w:rPr>
      <w:drawing>
        <wp:inline distT="0" distB="0" distL="0" distR="0" wp14:anchorId="77AFE446" wp14:editId="2785839E">
          <wp:extent cx="7562850" cy="177949"/>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7949"/>
                  </a:xfrm>
                  <a:prstGeom prst="rect">
                    <a:avLst/>
                  </a:prstGeom>
                  <a:noFill/>
                  <a:ln>
                    <a:noFill/>
                  </a:ln>
                </pic:spPr>
              </pic:pic>
            </a:graphicData>
          </a:graphic>
        </wp:inline>
      </w:drawing>
    </w:r>
  </w:p>
  <w:p w14:paraId="15FE0C71" w14:textId="24A48B8D" w:rsidR="006851B3" w:rsidRPr="00654E6E" w:rsidRDefault="006C2D7A" w:rsidP="006851B3">
    <w:pPr>
      <w:pStyle w:val="Footer"/>
      <w:tabs>
        <w:tab w:val="clear" w:pos="4513"/>
        <w:tab w:val="clear" w:pos="9026"/>
        <w:tab w:val="center" w:pos="4820"/>
        <w:tab w:val="right" w:pos="14742"/>
      </w:tabs>
      <w:spacing w:after="160"/>
      <w:rPr>
        <w:color w:val="auto"/>
      </w:rPr>
    </w:pPr>
    <w:sdt>
      <w:sdtPr>
        <w:rPr>
          <w:color w:val="auto"/>
          <w:sz w:val="18"/>
          <w:szCs w:val="18"/>
          <w:lang w:val="en-US"/>
        </w:rPr>
        <w:alias w:val="Title"/>
        <w:tag w:val=""/>
        <w:id w:val="-2006425229"/>
        <w:dataBinding w:prefixMappings="xmlns:ns0='http://purl.org/dc/elements/1.1/' xmlns:ns1='http://schemas.openxmlformats.org/package/2006/metadata/core-properties' " w:xpath="/ns1:coreProperties[1]/ns0:title[1]" w:storeItemID="{6C3C8BC8-F283-45AE-878A-BAB7291924A1}"/>
        <w:text/>
      </w:sdtPr>
      <w:sdtEndPr/>
      <w:sdtContent>
        <w:r w:rsidR="002B6E16">
          <w:rPr>
            <w:color w:val="auto"/>
            <w:sz w:val="18"/>
            <w:szCs w:val="18"/>
            <w:lang w:val="en-US"/>
          </w:rPr>
          <w:t>Submitting correct carbon dioxide emissions values for NVES</w:t>
        </w:r>
      </w:sdtContent>
    </w:sdt>
    <w:proofErr w:type="gramStart"/>
    <w:r w:rsidR="006851B3" w:rsidRPr="00654E6E">
      <w:rPr>
        <w:color w:val="auto"/>
        <w:sz w:val="18"/>
        <w:szCs w:val="18"/>
        <w:lang w:val="en-US"/>
      </w:rPr>
      <w:tab/>
    </w:r>
    <w:r w:rsidR="00576093">
      <w:rPr>
        <w:color w:val="auto"/>
        <w:sz w:val="18"/>
        <w:szCs w:val="18"/>
        <w:lang w:val="en-US"/>
      </w:rPr>
      <w:t xml:space="preserve">  </w:t>
    </w:r>
    <w:r w:rsidR="001B52B3" w:rsidRPr="00654E6E">
      <w:rPr>
        <w:b/>
        <w:color w:val="auto"/>
        <w:sz w:val="18"/>
        <w:szCs w:val="18"/>
        <w:lang w:val="en-US"/>
      </w:rPr>
      <w:t>Release</w:t>
    </w:r>
    <w:proofErr w:type="gramEnd"/>
    <w:r w:rsidR="001B52B3" w:rsidRPr="00654E6E">
      <w:rPr>
        <w:b/>
        <w:color w:val="auto"/>
        <w:sz w:val="18"/>
        <w:szCs w:val="18"/>
        <w:lang w:val="en-US"/>
      </w:rPr>
      <w:t xml:space="preserve"> date:</w:t>
    </w:r>
    <w:r w:rsidR="001B52B3" w:rsidRPr="00654E6E">
      <w:rPr>
        <w:color w:val="auto"/>
        <w:sz w:val="18"/>
        <w:szCs w:val="18"/>
        <w:lang w:val="en-US"/>
      </w:rPr>
      <w:t xml:space="preserve"> </w:t>
    </w:r>
    <w:sdt>
      <w:sdtPr>
        <w:rPr>
          <w:color w:val="auto"/>
          <w:sz w:val="18"/>
          <w:szCs w:val="18"/>
          <w:lang w:val="en-US"/>
        </w:rPr>
        <w:alias w:val="Category"/>
        <w:id w:val="-883561839"/>
        <w:dataBinding w:prefixMappings="xmlns:ns0='http://purl.org/dc/elements/1.1/' xmlns:ns1='http://schemas.openxmlformats.org/package/2006/metadata/core-properties' " w:xpath="/ns1:coreProperties[1]/ns1:category[1]" w:storeItemID="{6C3C8BC8-F283-45AE-878A-BAB7291924A1}"/>
        <w:text/>
      </w:sdtPr>
      <w:sdtEndPr/>
      <w:sdtContent>
        <w:r w:rsidR="00E24B0D">
          <w:rPr>
            <w:color w:val="auto"/>
            <w:sz w:val="18"/>
            <w:szCs w:val="18"/>
            <w:lang w:val="en-US"/>
          </w:rPr>
          <w:t>08 / 2026</w:t>
        </w:r>
      </w:sdtContent>
    </w:sdt>
    <w:r w:rsidR="001B52B3" w:rsidRPr="00654E6E">
      <w:rPr>
        <w:color w:val="auto"/>
        <w:sz w:val="18"/>
        <w:szCs w:val="18"/>
        <w:lang w:val="en-US"/>
      </w:rPr>
      <w:t xml:space="preserve"> | </w:t>
    </w:r>
    <w:r w:rsidR="001B52B3" w:rsidRPr="00654E6E">
      <w:rPr>
        <w:b/>
        <w:color w:val="auto"/>
        <w:sz w:val="18"/>
        <w:szCs w:val="18"/>
        <w:lang w:val="en-US"/>
      </w:rPr>
      <w:t>Version</w:t>
    </w:r>
    <w:r w:rsidR="001B52B3" w:rsidRPr="00654E6E">
      <w:rPr>
        <w:color w:val="auto"/>
        <w:sz w:val="18"/>
        <w:szCs w:val="18"/>
        <w:lang w:val="en-US"/>
      </w:rPr>
      <w:t xml:space="preserve">: </w:t>
    </w:r>
    <w:sdt>
      <w:sdtPr>
        <w:rPr>
          <w:color w:val="auto"/>
          <w:sz w:val="18"/>
          <w:szCs w:val="18"/>
          <w:lang w:val="en-US"/>
        </w:rPr>
        <w:alias w:val="Keywords"/>
        <w:id w:val="816299269"/>
        <w:dataBinding w:prefixMappings="xmlns:ns0='http://purl.org/dc/elements/1.1/' xmlns:ns1='http://schemas.openxmlformats.org/package/2006/metadata/core-properties' " w:xpath="/ns1:coreProperties[1]/ns1:keywords[1]" w:storeItemID="{6C3C8BC8-F283-45AE-878A-BAB7291924A1}"/>
        <w:text/>
      </w:sdtPr>
      <w:sdtEndPr/>
      <w:sdtContent>
        <w:r w:rsidR="00E24B0D">
          <w:rPr>
            <w:color w:val="auto"/>
            <w:sz w:val="18"/>
            <w:szCs w:val="18"/>
            <w:lang w:val="en-US"/>
          </w:rPr>
          <w:t>1.0</w:t>
        </w:r>
      </w:sdtContent>
    </w:sdt>
    <w:r w:rsidR="006851B3" w:rsidRPr="00654E6E">
      <w:rPr>
        <w:color w:val="auto"/>
        <w:sz w:val="18"/>
        <w:szCs w:val="18"/>
        <w:lang w:val="en-US"/>
      </w:rPr>
      <w:t xml:space="preserve"> </w:t>
    </w:r>
    <w:r w:rsidR="006851B3" w:rsidRPr="00654E6E">
      <w:rPr>
        <w:color w:val="auto"/>
        <w:sz w:val="18"/>
        <w:szCs w:val="18"/>
        <w:lang w:val="en-US"/>
      </w:rPr>
      <w:tab/>
      <w:t xml:space="preserve">Page </w:t>
    </w:r>
    <w:r w:rsidR="006851B3" w:rsidRPr="00654E6E">
      <w:rPr>
        <w:color w:val="auto"/>
        <w:sz w:val="18"/>
        <w:szCs w:val="18"/>
        <w:lang w:val="en-US"/>
      </w:rPr>
      <w:fldChar w:fldCharType="begin"/>
    </w:r>
    <w:r w:rsidR="006851B3" w:rsidRPr="00654E6E">
      <w:rPr>
        <w:color w:val="auto"/>
        <w:sz w:val="18"/>
        <w:szCs w:val="18"/>
        <w:lang w:val="en-US"/>
      </w:rPr>
      <w:instrText xml:space="preserve"> PAGE   \* MERGEFORMAT </w:instrText>
    </w:r>
    <w:r w:rsidR="006851B3" w:rsidRPr="00654E6E">
      <w:rPr>
        <w:color w:val="auto"/>
        <w:sz w:val="18"/>
        <w:szCs w:val="18"/>
        <w:lang w:val="en-US"/>
      </w:rPr>
      <w:fldChar w:fldCharType="separate"/>
    </w:r>
    <w:r w:rsidR="006851B3">
      <w:rPr>
        <w:color w:val="auto"/>
        <w:sz w:val="18"/>
        <w:szCs w:val="18"/>
        <w:lang w:val="en-US"/>
      </w:rPr>
      <w:t>3</w:t>
    </w:r>
    <w:r w:rsidR="006851B3" w:rsidRPr="00654E6E">
      <w:rPr>
        <w:noProof/>
        <w:color w:val="auto"/>
        <w:sz w:val="18"/>
        <w:szCs w:val="18"/>
        <w:lang w:val="en-US"/>
      </w:rPr>
      <w:fldChar w:fldCharType="end"/>
    </w:r>
    <w:r w:rsidR="006851B3" w:rsidRPr="00654E6E">
      <w:rPr>
        <w:noProof/>
        <w:color w:val="auto"/>
        <w:sz w:val="18"/>
        <w:szCs w:val="18"/>
        <w:lang w:val="en-US"/>
      </w:rPr>
      <w:t xml:space="preserve"> of </w:t>
    </w:r>
    <w:r w:rsidR="006851B3" w:rsidRPr="00654E6E">
      <w:rPr>
        <w:noProof/>
        <w:color w:val="auto"/>
        <w:sz w:val="18"/>
        <w:szCs w:val="18"/>
        <w:lang w:val="en-US"/>
      </w:rPr>
      <w:fldChar w:fldCharType="begin"/>
    </w:r>
    <w:r w:rsidR="006851B3" w:rsidRPr="00654E6E">
      <w:rPr>
        <w:noProof/>
        <w:color w:val="auto"/>
        <w:sz w:val="18"/>
        <w:szCs w:val="18"/>
        <w:lang w:val="en-US"/>
      </w:rPr>
      <w:instrText xml:space="preserve"> NUMPAGES   \* MERGEFORMAT </w:instrText>
    </w:r>
    <w:r w:rsidR="006851B3" w:rsidRPr="00654E6E">
      <w:rPr>
        <w:noProof/>
        <w:color w:val="auto"/>
        <w:sz w:val="18"/>
        <w:szCs w:val="18"/>
        <w:lang w:val="en-US"/>
      </w:rPr>
      <w:fldChar w:fldCharType="separate"/>
    </w:r>
    <w:r w:rsidR="006851B3">
      <w:rPr>
        <w:noProof/>
        <w:color w:val="auto"/>
        <w:sz w:val="18"/>
        <w:szCs w:val="18"/>
        <w:lang w:val="en-US"/>
      </w:rPr>
      <w:t>9</w:t>
    </w:r>
    <w:r w:rsidR="006851B3" w:rsidRPr="00654E6E">
      <w:rPr>
        <w:noProof/>
        <w:color w:val="auto"/>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BC37" w14:textId="3A13D6A7" w:rsidR="001D659E" w:rsidRDefault="004027B2" w:rsidP="006B1647">
    <w:pPr>
      <w:framePr w:w="11907" w:h="284" w:hSpace="181" w:wrap="around" w:vAnchor="page" w:hAnchor="page" w:yAlign="bottom"/>
      <w:spacing w:before="0" w:after="0"/>
    </w:pPr>
    <w:r>
      <w:rPr>
        <w:noProof/>
      </w:rPr>
      <mc:AlternateContent>
        <mc:Choice Requires="wps">
          <w:drawing>
            <wp:anchor distT="0" distB="0" distL="0" distR="0" simplePos="0" relativeHeight="251658240" behindDoc="0" locked="0" layoutInCell="1" allowOverlap="1" wp14:anchorId="261E87CE" wp14:editId="39E548D9">
              <wp:simplePos x="0" y="10515600"/>
              <wp:positionH relativeFrom="page">
                <wp:align>center</wp:align>
              </wp:positionH>
              <wp:positionV relativeFrom="page">
                <wp:align>bottom</wp:align>
              </wp:positionV>
              <wp:extent cx="726440" cy="509270"/>
              <wp:effectExtent l="0" t="0" r="16510" b="0"/>
              <wp:wrapNone/>
              <wp:docPr id="99106215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566EF6DA" w14:textId="7A00DBC3" w:rsidR="004027B2" w:rsidRPr="004027B2" w:rsidRDefault="004027B2" w:rsidP="004027B2">
                          <w:pPr>
                            <w:spacing w:after="0"/>
                            <w:rPr>
                              <w:rFonts w:ascii="Aptos" w:eastAsia="Aptos" w:hAnsi="Aptos" w:cs="Aptos"/>
                              <w:noProof/>
                              <w:color w:val="FF0000"/>
                              <w:sz w:val="28"/>
                              <w:szCs w:val="28"/>
                            </w:rPr>
                          </w:pPr>
                          <w:r w:rsidRPr="004027B2">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1E87CE" id="_x0000_t202" coordsize="21600,21600" o:spt="202" path="m,l,21600r21600,l21600,xe">
              <v:stroke joinstyle="miter"/>
              <v:path gradientshapeok="t" o:connecttype="rect"/>
            </v:shapetype>
            <v:shape id="Text Box 4" o:spid="_x0000_s1030" type="#_x0000_t202" alt="OFFICIAL" style="position:absolute;margin-left:0;margin-top:0;width:57.2pt;height:40.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" filled="f" stroked="f">
              <v:textbox style="mso-fit-shape-to-text:t" inset="0,0,0,15pt">
                <w:txbxContent>
                  <w:p w14:paraId="566EF6DA" w14:textId="7A00DBC3" w:rsidR="004027B2" w:rsidRPr="004027B2" w:rsidRDefault="004027B2" w:rsidP="004027B2">
                    <w:pPr>
                      <w:spacing w:after="0"/>
                      <w:rPr>
                        <w:rFonts w:ascii="Aptos" w:eastAsia="Aptos" w:hAnsi="Aptos" w:cs="Aptos"/>
                        <w:noProof/>
                        <w:color w:val="FF0000"/>
                        <w:sz w:val="28"/>
                        <w:szCs w:val="28"/>
                      </w:rPr>
                    </w:pPr>
                    <w:r w:rsidRPr="004027B2">
                      <w:rPr>
                        <w:rFonts w:ascii="Aptos" w:eastAsia="Aptos" w:hAnsi="Aptos" w:cs="Aptos"/>
                        <w:noProof/>
                        <w:color w:val="FF0000"/>
                        <w:sz w:val="28"/>
                        <w:szCs w:val="28"/>
                      </w:rPr>
                      <w:t>OFFICIAL</w:t>
                    </w:r>
                  </w:p>
                </w:txbxContent>
              </v:textbox>
              <w10:wrap anchorx="page" anchory="page"/>
            </v:shape>
          </w:pict>
        </mc:Fallback>
      </mc:AlternateContent>
    </w:r>
    <w:r w:rsidR="009E7E52">
      <w:rPr>
        <w:noProof/>
      </w:rPr>
      <w:drawing>
        <wp:inline distT="0" distB="0" distL="0" distR="0" wp14:anchorId="2B26C31F" wp14:editId="618EF9A7">
          <wp:extent cx="7562850" cy="177949"/>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7949"/>
                  </a:xfrm>
                  <a:prstGeom prst="rect">
                    <a:avLst/>
                  </a:prstGeom>
                  <a:noFill/>
                  <a:ln>
                    <a:noFill/>
                  </a:ln>
                </pic:spPr>
              </pic:pic>
            </a:graphicData>
          </a:graphic>
        </wp:inline>
      </w:drawing>
    </w:r>
  </w:p>
  <w:p w14:paraId="4E5185D6" w14:textId="49481319" w:rsidR="006851B3" w:rsidRPr="00654E6E" w:rsidRDefault="006C2D7A" w:rsidP="006851B3">
    <w:pPr>
      <w:pStyle w:val="Footer"/>
      <w:tabs>
        <w:tab w:val="clear" w:pos="4513"/>
        <w:tab w:val="clear" w:pos="9026"/>
        <w:tab w:val="center" w:pos="4820"/>
        <w:tab w:val="right" w:pos="14742"/>
      </w:tabs>
      <w:spacing w:after="160"/>
      <w:rPr>
        <w:color w:val="auto"/>
      </w:rPr>
    </w:pPr>
    <w:sdt>
      <w:sdtPr>
        <w:rPr>
          <w:color w:val="auto"/>
          <w:sz w:val="18"/>
          <w:szCs w:val="18"/>
          <w:lang w:val="en-US"/>
        </w:rPr>
        <w:alias w:val="Title"/>
        <w:tag w:val=""/>
        <w:id w:val="874962478"/>
        <w:dataBinding w:prefixMappings="xmlns:ns0='http://purl.org/dc/elements/1.1/' xmlns:ns1='http://schemas.openxmlformats.org/package/2006/metadata/core-properties' " w:xpath="/ns1:coreProperties[1]/ns0:title[1]" w:storeItemID="{6C3C8BC8-F283-45AE-878A-BAB7291924A1}"/>
        <w:text/>
      </w:sdtPr>
      <w:sdtEndPr/>
      <w:sdtContent>
        <w:r w:rsidR="002B6E16">
          <w:rPr>
            <w:color w:val="auto"/>
            <w:sz w:val="18"/>
            <w:szCs w:val="18"/>
            <w:lang w:val="en-US"/>
          </w:rPr>
          <w:t>Submitting correct carbon dioxide emissions values for NVES</w:t>
        </w:r>
      </w:sdtContent>
    </w:sdt>
    <w:proofErr w:type="gramStart"/>
    <w:r w:rsidR="006851B3" w:rsidRPr="00654E6E">
      <w:rPr>
        <w:color w:val="auto"/>
        <w:sz w:val="18"/>
        <w:szCs w:val="18"/>
        <w:lang w:val="en-US"/>
      </w:rPr>
      <w:tab/>
    </w:r>
    <w:r w:rsidR="00A74F88">
      <w:rPr>
        <w:color w:val="auto"/>
        <w:sz w:val="18"/>
        <w:szCs w:val="18"/>
        <w:lang w:val="en-US"/>
      </w:rPr>
      <w:t xml:space="preserve">  </w:t>
    </w:r>
    <w:r w:rsidR="006851B3" w:rsidRPr="00654E6E">
      <w:rPr>
        <w:b/>
        <w:color w:val="auto"/>
        <w:sz w:val="18"/>
        <w:szCs w:val="18"/>
        <w:lang w:val="en-US"/>
      </w:rPr>
      <w:t>Release</w:t>
    </w:r>
    <w:proofErr w:type="gramEnd"/>
    <w:r w:rsidR="006851B3" w:rsidRPr="00654E6E">
      <w:rPr>
        <w:b/>
        <w:color w:val="auto"/>
        <w:sz w:val="18"/>
        <w:szCs w:val="18"/>
        <w:lang w:val="en-US"/>
      </w:rPr>
      <w:t xml:space="preserve"> date:</w:t>
    </w:r>
    <w:r w:rsidR="006851B3" w:rsidRPr="00654E6E">
      <w:rPr>
        <w:color w:val="auto"/>
        <w:sz w:val="18"/>
        <w:szCs w:val="18"/>
        <w:lang w:val="en-US"/>
      </w:rPr>
      <w:t xml:space="preserve"> </w:t>
    </w:r>
    <w:sdt>
      <w:sdtPr>
        <w:rPr>
          <w:color w:val="auto"/>
          <w:sz w:val="18"/>
          <w:szCs w:val="18"/>
          <w:lang w:val="en-US"/>
        </w:rPr>
        <w:alias w:val="Category"/>
        <w:id w:val="1232892812"/>
        <w:dataBinding w:prefixMappings="xmlns:ns0='http://purl.org/dc/elements/1.1/' xmlns:ns1='http://schemas.openxmlformats.org/package/2006/metadata/core-properties' " w:xpath="/ns1:coreProperties[1]/ns1:category[1]" w:storeItemID="{6C3C8BC8-F283-45AE-878A-BAB7291924A1}"/>
        <w:text/>
      </w:sdtPr>
      <w:sdtEndPr/>
      <w:sdtContent>
        <w:r w:rsidR="00E24B0D">
          <w:rPr>
            <w:color w:val="auto"/>
            <w:sz w:val="18"/>
            <w:szCs w:val="18"/>
            <w:lang w:val="en-US"/>
          </w:rPr>
          <w:t>08</w:t>
        </w:r>
        <w:r w:rsidR="001B52B3">
          <w:rPr>
            <w:color w:val="auto"/>
            <w:sz w:val="18"/>
            <w:szCs w:val="18"/>
            <w:lang w:val="en-US"/>
          </w:rPr>
          <w:t xml:space="preserve"> / </w:t>
        </w:r>
        <w:r w:rsidR="00E24B0D">
          <w:rPr>
            <w:color w:val="auto"/>
            <w:sz w:val="18"/>
            <w:szCs w:val="18"/>
            <w:lang w:val="en-US"/>
          </w:rPr>
          <w:t>2026</w:t>
        </w:r>
      </w:sdtContent>
    </w:sdt>
    <w:r w:rsidR="006851B3" w:rsidRPr="00654E6E">
      <w:rPr>
        <w:color w:val="auto"/>
        <w:sz w:val="18"/>
        <w:szCs w:val="18"/>
        <w:lang w:val="en-US"/>
      </w:rPr>
      <w:t xml:space="preserve"> | </w:t>
    </w:r>
    <w:r w:rsidR="006851B3" w:rsidRPr="00654E6E">
      <w:rPr>
        <w:b/>
        <w:color w:val="auto"/>
        <w:sz w:val="18"/>
        <w:szCs w:val="18"/>
        <w:lang w:val="en-US"/>
      </w:rPr>
      <w:t>Version</w:t>
    </w:r>
    <w:r w:rsidR="006851B3" w:rsidRPr="00654E6E">
      <w:rPr>
        <w:color w:val="auto"/>
        <w:sz w:val="18"/>
        <w:szCs w:val="18"/>
        <w:lang w:val="en-US"/>
      </w:rPr>
      <w:t xml:space="preserve">: </w:t>
    </w:r>
    <w:sdt>
      <w:sdtPr>
        <w:rPr>
          <w:color w:val="auto"/>
          <w:sz w:val="18"/>
          <w:szCs w:val="18"/>
          <w:lang w:val="en-US"/>
        </w:rPr>
        <w:alias w:val="Keywords"/>
        <w:id w:val="-1400442376"/>
        <w:dataBinding w:prefixMappings="xmlns:ns0='http://purl.org/dc/elements/1.1/' xmlns:ns1='http://schemas.openxmlformats.org/package/2006/metadata/core-properties' " w:xpath="/ns1:coreProperties[1]/ns1:keywords[1]" w:storeItemID="{6C3C8BC8-F283-45AE-878A-BAB7291924A1}"/>
        <w:text/>
      </w:sdtPr>
      <w:sdtEndPr/>
      <w:sdtContent>
        <w:r w:rsidR="00E24B0D">
          <w:rPr>
            <w:color w:val="auto"/>
            <w:sz w:val="18"/>
            <w:szCs w:val="18"/>
            <w:lang w:val="en-US"/>
          </w:rPr>
          <w:t>1</w:t>
        </w:r>
        <w:r w:rsidR="001B52B3">
          <w:rPr>
            <w:color w:val="auto"/>
            <w:sz w:val="18"/>
            <w:szCs w:val="18"/>
            <w:lang w:val="en-US"/>
          </w:rPr>
          <w:t>.</w:t>
        </w:r>
        <w:r w:rsidR="00E24B0D">
          <w:rPr>
            <w:color w:val="auto"/>
            <w:sz w:val="18"/>
            <w:szCs w:val="18"/>
            <w:lang w:val="en-US"/>
          </w:rPr>
          <w:t>0</w:t>
        </w:r>
      </w:sdtContent>
    </w:sdt>
    <w:r w:rsidR="006851B3" w:rsidRPr="00654E6E">
      <w:rPr>
        <w:color w:val="auto"/>
        <w:sz w:val="18"/>
        <w:szCs w:val="18"/>
        <w:lang w:val="en-US"/>
      </w:rPr>
      <w:t xml:space="preserve"> </w:t>
    </w:r>
    <w:r w:rsidR="006851B3" w:rsidRPr="00654E6E">
      <w:rPr>
        <w:color w:val="auto"/>
        <w:sz w:val="18"/>
        <w:szCs w:val="18"/>
        <w:lang w:val="en-US"/>
      </w:rPr>
      <w:tab/>
      <w:t xml:space="preserve">Page </w:t>
    </w:r>
    <w:r w:rsidR="006851B3" w:rsidRPr="00654E6E">
      <w:rPr>
        <w:color w:val="auto"/>
        <w:sz w:val="18"/>
        <w:szCs w:val="18"/>
        <w:lang w:val="en-US"/>
      </w:rPr>
      <w:fldChar w:fldCharType="begin"/>
    </w:r>
    <w:r w:rsidR="006851B3" w:rsidRPr="00654E6E">
      <w:rPr>
        <w:color w:val="auto"/>
        <w:sz w:val="18"/>
        <w:szCs w:val="18"/>
        <w:lang w:val="en-US"/>
      </w:rPr>
      <w:instrText xml:space="preserve"> PAGE   \* MERGEFORMAT </w:instrText>
    </w:r>
    <w:r w:rsidR="006851B3" w:rsidRPr="00654E6E">
      <w:rPr>
        <w:color w:val="auto"/>
        <w:sz w:val="18"/>
        <w:szCs w:val="18"/>
        <w:lang w:val="en-US"/>
      </w:rPr>
      <w:fldChar w:fldCharType="separate"/>
    </w:r>
    <w:r w:rsidR="006851B3">
      <w:rPr>
        <w:color w:val="auto"/>
        <w:sz w:val="18"/>
        <w:szCs w:val="18"/>
        <w:lang w:val="en-US"/>
      </w:rPr>
      <w:t>3</w:t>
    </w:r>
    <w:r w:rsidR="006851B3" w:rsidRPr="00654E6E">
      <w:rPr>
        <w:noProof/>
        <w:color w:val="auto"/>
        <w:sz w:val="18"/>
        <w:szCs w:val="18"/>
        <w:lang w:val="en-US"/>
      </w:rPr>
      <w:fldChar w:fldCharType="end"/>
    </w:r>
    <w:r w:rsidR="006851B3" w:rsidRPr="00654E6E">
      <w:rPr>
        <w:noProof/>
        <w:color w:val="auto"/>
        <w:sz w:val="18"/>
        <w:szCs w:val="18"/>
        <w:lang w:val="en-US"/>
      </w:rPr>
      <w:t xml:space="preserve"> of </w:t>
    </w:r>
    <w:r w:rsidR="006851B3" w:rsidRPr="00654E6E">
      <w:rPr>
        <w:noProof/>
        <w:color w:val="auto"/>
        <w:sz w:val="18"/>
        <w:szCs w:val="18"/>
        <w:lang w:val="en-US"/>
      </w:rPr>
      <w:fldChar w:fldCharType="begin"/>
    </w:r>
    <w:r w:rsidR="006851B3" w:rsidRPr="00654E6E">
      <w:rPr>
        <w:noProof/>
        <w:color w:val="auto"/>
        <w:sz w:val="18"/>
        <w:szCs w:val="18"/>
        <w:lang w:val="en-US"/>
      </w:rPr>
      <w:instrText xml:space="preserve"> NUMPAGES   \* MERGEFORMAT </w:instrText>
    </w:r>
    <w:r w:rsidR="006851B3" w:rsidRPr="00654E6E">
      <w:rPr>
        <w:noProof/>
        <w:color w:val="auto"/>
        <w:sz w:val="18"/>
        <w:szCs w:val="18"/>
        <w:lang w:val="en-US"/>
      </w:rPr>
      <w:fldChar w:fldCharType="separate"/>
    </w:r>
    <w:r w:rsidR="006851B3">
      <w:rPr>
        <w:noProof/>
        <w:color w:val="auto"/>
        <w:sz w:val="18"/>
        <w:szCs w:val="18"/>
        <w:lang w:val="en-US"/>
      </w:rPr>
      <w:t>9</w:t>
    </w:r>
    <w:r w:rsidR="006851B3" w:rsidRPr="00654E6E">
      <w:rPr>
        <w:noProof/>
        <w:color w:val="auto"/>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96FB0" w14:textId="77777777" w:rsidR="006C2D7A" w:rsidRPr="00EF7FF3" w:rsidRDefault="006C2D7A" w:rsidP="005912BE">
      <w:pPr>
        <w:spacing w:before="300"/>
        <w:rPr>
          <w:color w:val="081E3E" w:themeColor="text2"/>
        </w:rPr>
      </w:pPr>
      <w:r w:rsidRPr="00EF7FF3">
        <w:rPr>
          <w:color w:val="081E3E" w:themeColor="text2"/>
        </w:rPr>
        <w:t>----------</w:t>
      </w:r>
    </w:p>
  </w:footnote>
  <w:footnote w:type="continuationSeparator" w:id="0">
    <w:p w14:paraId="222F8E82" w14:textId="77777777" w:rsidR="006C2D7A" w:rsidRDefault="006C2D7A" w:rsidP="008456D5">
      <w:pPr>
        <w:spacing w:before="0" w:after="0"/>
      </w:pPr>
      <w:r>
        <w:continuationSeparator/>
      </w:r>
    </w:p>
  </w:footnote>
  <w:footnote w:type="continuationNotice" w:id="1">
    <w:p w14:paraId="24A4BEDD" w14:textId="77777777" w:rsidR="006C2D7A" w:rsidRDefault="006C2D7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BEAEE" w14:textId="13BAFC1F" w:rsidR="00180B5B" w:rsidRDefault="004027B2" w:rsidP="00180B5B">
    <w:pPr>
      <w:pStyle w:val="Header"/>
      <w:spacing w:after="1320"/>
      <w:jc w:val="left"/>
    </w:pPr>
    <w:r>
      <w:rPr>
        <w:noProof/>
      </w:rPr>
      <mc:AlternateContent>
        <mc:Choice Requires="wps">
          <w:drawing>
            <wp:anchor distT="0" distB="0" distL="0" distR="0" simplePos="0" relativeHeight="251656192" behindDoc="0" locked="0" layoutInCell="1" allowOverlap="1" wp14:anchorId="0766FC15" wp14:editId="5C99F348">
              <wp:simplePos x="635" y="635"/>
              <wp:positionH relativeFrom="page">
                <wp:align>center</wp:align>
              </wp:positionH>
              <wp:positionV relativeFrom="page">
                <wp:align>top</wp:align>
              </wp:positionV>
              <wp:extent cx="726440" cy="509270"/>
              <wp:effectExtent l="0" t="0" r="16510" b="5080"/>
              <wp:wrapNone/>
              <wp:docPr id="103819056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0505F275" w14:textId="50332771" w:rsidR="004027B2" w:rsidRPr="004027B2" w:rsidRDefault="004027B2" w:rsidP="004027B2">
                          <w:pPr>
                            <w:spacing w:after="0"/>
                            <w:rPr>
                              <w:rFonts w:ascii="Aptos" w:eastAsia="Aptos" w:hAnsi="Aptos" w:cs="Aptos"/>
                              <w:noProof/>
                              <w:color w:val="FF0000"/>
                              <w:sz w:val="28"/>
                              <w:szCs w:val="28"/>
                            </w:rPr>
                          </w:pPr>
                          <w:r w:rsidRPr="004027B2">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66FC15" id="_x0000_t202" coordsize="21600,21600" o:spt="202" path="m,l,21600r21600,l21600,xe">
              <v:stroke joinstyle="miter"/>
              <v:path gradientshapeok="t" o:connecttype="rect"/>
            </v:shapetype>
            <v:shape id="Text Box 2" o:spid="_x0000_s1026" type="#_x0000_t202" alt="OFFICIAL" style="position:absolute;margin-left:0;margin-top:0;width:57.2pt;height:40.1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" filled="f" stroked="f">
              <v:textbox style="mso-fit-shape-to-text:t" inset="0,15pt,0,0">
                <w:txbxContent>
                  <w:p w14:paraId="0505F275" w14:textId="50332771" w:rsidR="004027B2" w:rsidRPr="004027B2" w:rsidRDefault="004027B2" w:rsidP="004027B2">
                    <w:pPr>
                      <w:spacing w:after="0"/>
                      <w:rPr>
                        <w:rFonts w:ascii="Aptos" w:eastAsia="Aptos" w:hAnsi="Aptos" w:cs="Aptos"/>
                        <w:noProof/>
                        <w:color w:val="FF0000"/>
                        <w:sz w:val="28"/>
                        <w:szCs w:val="28"/>
                      </w:rPr>
                    </w:pPr>
                    <w:r w:rsidRPr="004027B2">
                      <w:rPr>
                        <w:rFonts w:ascii="Aptos" w:eastAsia="Aptos" w:hAnsi="Aptos" w:cs="Aptos"/>
                        <w:noProof/>
                        <w:color w:val="FF0000"/>
                        <w:sz w:val="28"/>
                        <w:szCs w:val="28"/>
                      </w:rPr>
                      <w:t>OFFICIAL</w:t>
                    </w:r>
                  </w:p>
                </w:txbxContent>
              </v:textbox>
              <w10:wrap anchorx="page" anchory="page"/>
            </v:shape>
          </w:pict>
        </mc:Fallback>
      </mc:AlternateContent>
    </w:r>
    <w:fldSimple w:instr=" STYLEREF  &quot;Heading 1&quot; \l  \* MERGEFORMAT ">
      <w:r>
        <w:rPr>
          <w:noProof/>
        </w:rPr>
        <w:t>Heading 1</w:t>
      </w:r>
    </w:fldSimple>
  </w:p>
  <w:p w14:paraId="7D907E94" w14:textId="77777777" w:rsidR="00C15F0D" w:rsidRDefault="00C15F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75E19" w14:textId="52DAF938" w:rsidR="00D2335F" w:rsidRDefault="00D2335F" w:rsidP="00D2335F">
    <w:pPr>
      <w:framePr w:w="11907" w:h="3062" w:wrap="around" w:vAnchor="page" w:hAnchor="page" w:x="12" w:yAlign="top" w:anchorLock="1"/>
      <w:spacing w:before="0" w:after="400"/>
    </w:pPr>
    <w:bookmarkStart w:id="2" w:name="_Hlk148680551"/>
    <w:r>
      <w:rPr>
        <w:noProof/>
      </w:rPr>
      <w:drawing>
        <wp:inline distT="0" distB="0" distL="0" distR="0" wp14:anchorId="5EAF70C6" wp14:editId="3597B488">
          <wp:extent cx="7553115" cy="1942229"/>
          <wp:effectExtent l="0" t="0" r="3810" b="127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3115" cy="1942229"/>
                  </a:xfrm>
                  <a:prstGeom prst="rect">
                    <a:avLst/>
                  </a:prstGeom>
                  <a:noFill/>
                  <a:ln>
                    <a:noFill/>
                  </a:ln>
                </pic:spPr>
              </pic:pic>
            </a:graphicData>
          </a:graphic>
        </wp:inline>
      </w:drawing>
    </w:r>
  </w:p>
  <w:bookmarkEnd w:id="2"/>
  <w:p w14:paraId="49F1A97E" w14:textId="77777777" w:rsidR="00D2335F" w:rsidRDefault="00F7524B" w:rsidP="00065852">
    <w:pPr>
      <w:framePr w:w="6237" w:h="1134" w:hSpace="181" w:wrap="around" w:vAnchor="page" w:hAnchor="page" w:x="1022" w:y="1135" w:anchorLock="1"/>
      <w:spacing w:after="0"/>
    </w:pPr>
    <w:r>
      <w:rPr>
        <w:noProof/>
        <w:lang w:eastAsia="en-AU"/>
      </w:rPr>
      <w:drawing>
        <wp:inline distT="0" distB="0" distL="0" distR="0" wp14:anchorId="7EAF9A2B" wp14:editId="31BA5045">
          <wp:extent cx="2762100" cy="669600"/>
          <wp:effectExtent l="0" t="0" r="0" b="3810"/>
          <wp:docPr id="12" name="Picture 12" descr="Australian Government logo and New Vehicle Efficiency Standard Regul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ustralian Government logo and New Vehicle Efficiency Standard Regulator logo"/>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762100" cy="669600"/>
                  </a:xfrm>
                  <a:prstGeom prst="rect">
                    <a:avLst/>
                  </a:prstGeom>
                  <a:noFill/>
                </pic:spPr>
              </pic:pic>
            </a:graphicData>
          </a:graphic>
        </wp:inline>
      </w:drawing>
    </w:r>
  </w:p>
  <w:p w14:paraId="57001A64" w14:textId="77777777" w:rsidR="00D2335F" w:rsidRPr="0069753D" w:rsidRDefault="00D2335F" w:rsidP="00D2335F">
    <w:pPr>
      <w:pStyle w:val="Header"/>
      <w:ind w:left="-992"/>
      <w:jc w:val="lef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CC57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326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9AEC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F80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8AC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7CA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EFE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A64F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1C3D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DC00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621AED"/>
    <w:multiLevelType w:val="multilevel"/>
    <w:tmpl w:val="C2EED61A"/>
    <w:numStyleLink w:val="NumberedHeadings"/>
  </w:abstractNum>
  <w:abstractNum w:abstractNumId="12"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AA51938"/>
    <w:multiLevelType w:val="multilevel"/>
    <w:tmpl w:val="298C34E4"/>
    <w:numStyleLink w:val="AppendixNumbers"/>
  </w:abstractNum>
  <w:abstractNum w:abstractNumId="14"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545B01A1"/>
    <w:multiLevelType w:val="hybridMultilevel"/>
    <w:tmpl w:val="4AEEF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853037470">
    <w:abstractNumId w:val="9"/>
  </w:num>
  <w:num w:numId="2" w16cid:durableId="1051228493">
    <w:abstractNumId w:val="7"/>
  </w:num>
  <w:num w:numId="3" w16cid:durableId="607389235">
    <w:abstractNumId w:val="6"/>
  </w:num>
  <w:num w:numId="4" w16cid:durableId="881987691">
    <w:abstractNumId w:val="5"/>
  </w:num>
  <w:num w:numId="5" w16cid:durableId="844201590">
    <w:abstractNumId w:val="4"/>
  </w:num>
  <w:num w:numId="6" w16cid:durableId="700279291">
    <w:abstractNumId w:val="8"/>
  </w:num>
  <w:num w:numId="7" w16cid:durableId="1775242343">
    <w:abstractNumId w:val="3"/>
  </w:num>
  <w:num w:numId="8" w16cid:durableId="258030070">
    <w:abstractNumId w:val="2"/>
  </w:num>
  <w:num w:numId="9" w16cid:durableId="188102576">
    <w:abstractNumId w:val="1"/>
  </w:num>
  <w:num w:numId="10" w16cid:durableId="610628000">
    <w:abstractNumId w:val="0"/>
  </w:num>
  <w:num w:numId="11" w16cid:durableId="396589833">
    <w:abstractNumId w:val="15"/>
  </w:num>
  <w:num w:numId="12" w16cid:durableId="13984304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7630012">
    <w:abstractNumId w:val="19"/>
  </w:num>
  <w:num w:numId="14" w16cid:durableId="3549692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8353190">
    <w:abstractNumId w:val="10"/>
  </w:num>
  <w:num w:numId="16" w16cid:durableId="3209330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0989711">
    <w:abstractNumId w:val="14"/>
  </w:num>
  <w:num w:numId="18" w16cid:durableId="1293713178">
    <w:abstractNumId w:val="11"/>
  </w:num>
  <w:num w:numId="19" w16cid:durableId="1450777337">
    <w:abstractNumId w:val="12"/>
  </w:num>
  <w:num w:numId="20" w16cid:durableId="964120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1328666">
    <w:abstractNumId w:val="13"/>
  </w:num>
  <w:num w:numId="22" w16cid:durableId="2112625441">
    <w:abstractNumId w:val="17"/>
  </w:num>
  <w:num w:numId="23" w16cid:durableId="18034206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3377129">
    <w:abstractNumId w:val="18"/>
  </w:num>
  <w:num w:numId="25" w16cid:durableId="1527786487">
    <w:abstractNumId w:val="18"/>
  </w:num>
  <w:num w:numId="26" w16cid:durableId="1824854462">
    <w:abstractNumId w:val="18"/>
  </w:num>
  <w:num w:numId="27" w16cid:durableId="996147632">
    <w:abstractNumId w:val="18"/>
  </w:num>
  <w:num w:numId="28" w16cid:durableId="2089307266">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33503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7B2"/>
    <w:rsid w:val="0001430B"/>
    <w:rsid w:val="0001538B"/>
    <w:rsid w:val="00024E97"/>
    <w:rsid w:val="000341E0"/>
    <w:rsid w:val="00060354"/>
    <w:rsid w:val="00062740"/>
    <w:rsid w:val="00063F91"/>
    <w:rsid w:val="00066731"/>
    <w:rsid w:val="00067445"/>
    <w:rsid w:val="00072740"/>
    <w:rsid w:val="0009564F"/>
    <w:rsid w:val="000B08D1"/>
    <w:rsid w:val="000B2837"/>
    <w:rsid w:val="000D64D2"/>
    <w:rsid w:val="000E0A93"/>
    <w:rsid w:val="000E24BA"/>
    <w:rsid w:val="000E5674"/>
    <w:rsid w:val="000E7E9F"/>
    <w:rsid w:val="00100ABB"/>
    <w:rsid w:val="00100DE1"/>
    <w:rsid w:val="001109C3"/>
    <w:rsid w:val="001128A0"/>
    <w:rsid w:val="00124FAC"/>
    <w:rsid w:val="0013014E"/>
    <w:rsid w:val="001349C6"/>
    <w:rsid w:val="00140888"/>
    <w:rsid w:val="00157073"/>
    <w:rsid w:val="001606C9"/>
    <w:rsid w:val="001653B4"/>
    <w:rsid w:val="0017742A"/>
    <w:rsid w:val="00180B5B"/>
    <w:rsid w:val="0019553F"/>
    <w:rsid w:val="0019614B"/>
    <w:rsid w:val="001B32E8"/>
    <w:rsid w:val="001B52B3"/>
    <w:rsid w:val="001B78BF"/>
    <w:rsid w:val="001D659E"/>
    <w:rsid w:val="001E1D59"/>
    <w:rsid w:val="001E7F9C"/>
    <w:rsid w:val="001F1C79"/>
    <w:rsid w:val="00203702"/>
    <w:rsid w:val="002074D8"/>
    <w:rsid w:val="002179CC"/>
    <w:rsid w:val="00222611"/>
    <w:rsid w:val="002229F7"/>
    <w:rsid w:val="00224BE3"/>
    <w:rsid w:val="002254D5"/>
    <w:rsid w:val="0022611D"/>
    <w:rsid w:val="00234E65"/>
    <w:rsid w:val="00234F5D"/>
    <w:rsid w:val="00257FE7"/>
    <w:rsid w:val="00261C74"/>
    <w:rsid w:val="00262D22"/>
    <w:rsid w:val="0026422D"/>
    <w:rsid w:val="00266955"/>
    <w:rsid w:val="00270F19"/>
    <w:rsid w:val="002773D1"/>
    <w:rsid w:val="002839B9"/>
    <w:rsid w:val="00284164"/>
    <w:rsid w:val="002848F8"/>
    <w:rsid w:val="002875E7"/>
    <w:rsid w:val="0029577D"/>
    <w:rsid w:val="002959FB"/>
    <w:rsid w:val="002A1DE6"/>
    <w:rsid w:val="002B3569"/>
    <w:rsid w:val="002B4548"/>
    <w:rsid w:val="002B6E16"/>
    <w:rsid w:val="002B7197"/>
    <w:rsid w:val="002C3BB2"/>
    <w:rsid w:val="002D233D"/>
    <w:rsid w:val="002E1ADA"/>
    <w:rsid w:val="002E1EB3"/>
    <w:rsid w:val="002E3415"/>
    <w:rsid w:val="002F7111"/>
    <w:rsid w:val="00334C93"/>
    <w:rsid w:val="00336517"/>
    <w:rsid w:val="003720E9"/>
    <w:rsid w:val="00372DCC"/>
    <w:rsid w:val="003777AB"/>
    <w:rsid w:val="0038444F"/>
    <w:rsid w:val="00395814"/>
    <w:rsid w:val="003966B6"/>
    <w:rsid w:val="003B640D"/>
    <w:rsid w:val="003C625A"/>
    <w:rsid w:val="003D4E51"/>
    <w:rsid w:val="003E16B6"/>
    <w:rsid w:val="003E17F7"/>
    <w:rsid w:val="003F1371"/>
    <w:rsid w:val="003F775D"/>
    <w:rsid w:val="004027B2"/>
    <w:rsid w:val="00420F04"/>
    <w:rsid w:val="00427326"/>
    <w:rsid w:val="00430511"/>
    <w:rsid w:val="00436294"/>
    <w:rsid w:val="00450D0E"/>
    <w:rsid w:val="00454FED"/>
    <w:rsid w:val="004642C4"/>
    <w:rsid w:val="004673D4"/>
    <w:rsid w:val="00477E77"/>
    <w:rsid w:val="0048292A"/>
    <w:rsid w:val="00483596"/>
    <w:rsid w:val="0049153B"/>
    <w:rsid w:val="004A4EB9"/>
    <w:rsid w:val="004C316B"/>
    <w:rsid w:val="004C3600"/>
    <w:rsid w:val="004D056E"/>
    <w:rsid w:val="004E1EB0"/>
    <w:rsid w:val="004F77AA"/>
    <w:rsid w:val="00504A3A"/>
    <w:rsid w:val="00504FFF"/>
    <w:rsid w:val="00513CB5"/>
    <w:rsid w:val="00526674"/>
    <w:rsid w:val="00526CD7"/>
    <w:rsid w:val="00541213"/>
    <w:rsid w:val="00546218"/>
    <w:rsid w:val="00556731"/>
    <w:rsid w:val="005653A9"/>
    <w:rsid w:val="00567527"/>
    <w:rsid w:val="0057419C"/>
    <w:rsid w:val="00576093"/>
    <w:rsid w:val="00580E6C"/>
    <w:rsid w:val="00582A04"/>
    <w:rsid w:val="005864A7"/>
    <w:rsid w:val="005912BE"/>
    <w:rsid w:val="0059218B"/>
    <w:rsid w:val="005D3155"/>
    <w:rsid w:val="005D50BC"/>
    <w:rsid w:val="005F794B"/>
    <w:rsid w:val="00611CC1"/>
    <w:rsid w:val="006335BA"/>
    <w:rsid w:val="00651354"/>
    <w:rsid w:val="006851B3"/>
    <w:rsid w:val="00686A7B"/>
    <w:rsid w:val="0069074E"/>
    <w:rsid w:val="0069316B"/>
    <w:rsid w:val="006A0F8A"/>
    <w:rsid w:val="006A266A"/>
    <w:rsid w:val="006B08D9"/>
    <w:rsid w:val="006B1647"/>
    <w:rsid w:val="006B3349"/>
    <w:rsid w:val="006B5C8A"/>
    <w:rsid w:val="006C2D7A"/>
    <w:rsid w:val="006E1ECA"/>
    <w:rsid w:val="006E1F09"/>
    <w:rsid w:val="006E2A0E"/>
    <w:rsid w:val="006F3111"/>
    <w:rsid w:val="006F42E5"/>
    <w:rsid w:val="00703673"/>
    <w:rsid w:val="00703A05"/>
    <w:rsid w:val="00727E4F"/>
    <w:rsid w:val="00760028"/>
    <w:rsid w:val="00784078"/>
    <w:rsid w:val="007A05BE"/>
    <w:rsid w:val="007A0CD1"/>
    <w:rsid w:val="007A5D2E"/>
    <w:rsid w:val="007D7CD4"/>
    <w:rsid w:val="007E40AE"/>
    <w:rsid w:val="007F7167"/>
    <w:rsid w:val="007F7AAF"/>
    <w:rsid w:val="00802440"/>
    <w:rsid w:val="0080482C"/>
    <w:rsid w:val="008064A7"/>
    <w:rsid w:val="008067A1"/>
    <w:rsid w:val="00823E03"/>
    <w:rsid w:val="00833543"/>
    <w:rsid w:val="00835773"/>
    <w:rsid w:val="00840953"/>
    <w:rsid w:val="008456D5"/>
    <w:rsid w:val="0084634B"/>
    <w:rsid w:val="008500E4"/>
    <w:rsid w:val="0087007E"/>
    <w:rsid w:val="00884E68"/>
    <w:rsid w:val="008A1887"/>
    <w:rsid w:val="008A3E38"/>
    <w:rsid w:val="008A4111"/>
    <w:rsid w:val="008A424C"/>
    <w:rsid w:val="008A4FEA"/>
    <w:rsid w:val="008B3901"/>
    <w:rsid w:val="008B6A81"/>
    <w:rsid w:val="008C46D9"/>
    <w:rsid w:val="008E2A0D"/>
    <w:rsid w:val="00915DB8"/>
    <w:rsid w:val="00924CF8"/>
    <w:rsid w:val="00946BCD"/>
    <w:rsid w:val="00953FC0"/>
    <w:rsid w:val="00961016"/>
    <w:rsid w:val="009678FD"/>
    <w:rsid w:val="00981F9A"/>
    <w:rsid w:val="009909EC"/>
    <w:rsid w:val="00995D98"/>
    <w:rsid w:val="0099647D"/>
    <w:rsid w:val="00996B8C"/>
    <w:rsid w:val="009A3B70"/>
    <w:rsid w:val="009B00F2"/>
    <w:rsid w:val="009B65F5"/>
    <w:rsid w:val="009C6C39"/>
    <w:rsid w:val="009D6C76"/>
    <w:rsid w:val="009E7E52"/>
    <w:rsid w:val="00A070A2"/>
    <w:rsid w:val="00A103B6"/>
    <w:rsid w:val="00A146EE"/>
    <w:rsid w:val="00A30CC3"/>
    <w:rsid w:val="00A53848"/>
    <w:rsid w:val="00A55479"/>
    <w:rsid w:val="00A64FBA"/>
    <w:rsid w:val="00A70111"/>
    <w:rsid w:val="00A74F88"/>
    <w:rsid w:val="00A81BBD"/>
    <w:rsid w:val="00A84ADF"/>
    <w:rsid w:val="00A95970"/>
    <w:rsid w:val="00AB3238"/>
    <w:rsid w:val="00AC4537"/>
    <w:rsid w:val="00AD4EF7"/>
    <w:rsid w:val="00AD7703"/>
    <w:rsid w:val="00AE1A3E"/>
    <w:rsid w:val="00AE4F99"/>
    <w:rsid w:val="00AE6914"/>
    <w:rsid w:val="00B01061"/>
    <w:rsid w:val="00B0484D"/>
    <w:rsid w:val="00B20EAE"/>
    <w:rsid w:val="00B24E7A"/>
    <w:rsid w:val="00B42AC2"/>
    <w:rsid w:val="00B45D43"/>
    <w:rsid w:val="00B5606E"/>
    <w:rsid w:val="00B666D4"/>
    <w:rsid w:val="00B67C77"/>
    <w:rsid w:val="00B67FCC"/>
    <w:rsid w:val="00B800E2"/>
    <w:rsid w:val="00B83A77"/>
    <w:rsid w:val="00B92507"/>
    <w:rsid w:val="00B9430D"/>
    <w:rsid w:val="00BB2DD8"/>
    <w:rsid w:val="00BB3AAC"/>
    <w:rsid w:val="00BB68A9"/>
    <w:rsid w:val="00BE198C"/>
    <w:rsid w:val="00BE3AD8"/>
    <w:rsid w:val="00BE5DEC"/>
    <w:rsid w:val="00BF19D6"/>
    <w:rsid w:val="00C0455C"/>
    <w:rsid w:val="00C10346"/>
    <w:rsid w:val="00C10436"/>
    <w:rsid w:val="00C15F0D"/>
    <w:rsid w:val="00C27C02"/>
    <w:rsid w:val="00C45205"/>
    <w:rsid w:val="00C54AC7"/>
    <w:rsid w:val="00C5653D"/>
    <w:rsid w:val="00C57766"/>
    <w:rsid w:val="00C60146"/>
    <w:rsid w:val="00C76D5B"/>
    <w:rsid w:val="00CA6302"/>
    <w:rsid w:val="00CC52E9"/>
    <w:rsid w:val="00CD233E"/>
    <w:rsid w:val="00CD60B6"/>
    <w:rsid w:val="00CD6739"/>
    <w:rsid w:val="00CE67F2"/>
    <w:rsid w:val="00CF6CFD"/>
    <w:rsid w:val="00CF763F"/>
    <w:rsid w:val="00CF78A5"/>
    <w:rsid w:val="00D02062"/>
    <w:rsid w:val="00D13556"/>
    <w:rsid w:val="00D21349"/>
    <w:rsid w:val="00D23311"/>
    <w:rsid w:val="00D2335F"/>
    <w:rsid w:val="00D26896"/>
    <w:rsid w:val="00D3125C"/>
    <w:rsid w:val="00D32D9A"/>
    <w:rsid w:val="00D55023"/>
    <w:rsid w:val="00D56075"/>
    <w:rsid w:val="00D5655E"/>
    <w:rsid w:val="00D62C1B"/>
    <w:rsid w:val="00D64651"/>
    <w:rsid w:val="00D67DEB"/>
    <w:rsid w:val="00D71E3A"/>
    <w:rsid w:val="00D720DD"/>
    <w:rsid w:val="00D93AEC"/>
    <w:rsid w:val="00D96BC0"/>
    <w:rsid w:val="00DA6576"/>
    <w:rsid w:val="00DB772F"/>
    <w:rsid w:val="00DD09C2"/>
    <w:rsid w:val="00DD73BD"/>
    <w:rsid w:val="00DE4362"/>
    <w:rsid w:val="00DE4FE2"/>
    <w:rsid w:val="00DE55A4"/>
    <w:rsid w:val="00E00CD9"/>
    <w:rsid w:val="00E04908"/>
    <w:rsid w:val="00E108C2"/>
    <w:rsid w:val="00E16D1E"/>
    <w:rsid w:val="00E2218A"/>
    <w:rsid w:val="00E24B0D"/>
    <w:rsid w:val="00E26A00"/>
    <w:rsid w:val="00E26AC2"/>
    <w:rsid w:val="00E30EB4"/>
    <w:rsid w:val="00E4430B"/>
    <w:rsid w:val="00E51F03"/>
    <w:rsid w:val="00E5444D"/>
    <w:rsid w:val="00E55BB2"/>
    <w:rsid w:val="00E70F26"/>
    <w:rsid w:val="00E736ED"/>
    <w:rsid w:val="00E800D9"/>
    <w:rsid w:val="00E93750"/>
    <w:rsid w:val="00E94FDD"/>
    <w:rsid w:val="00E95BA5"/>
    <w:rsid w:val="00E960D3"/>
    <w:rsid w:val="00EA1CFF"/>
    <w:rsid w:val="00EB41FF"/>
    <w:rsid w:val="00EC6741"/>
    <w:rsid w:val="00EF7FF3"/>
    <w:rsid w:val="00F10D1D"/>
    <w:rsid w:val="00F11869"/>
    <w:rsid w:val="00F1428D"/>
    <w:rsid w:val="00F301F1"/>
    <w:rsid w:val="00F3089A"/>
    <w:rsid w:val="00F472C5"/>
    <w:rsid w:val="00F62C6F"/>
    <w:rsid w:val="00F63AD6"/>
    <w:rsid w:val="00F67CDB"/>
    <w:rsid w:val="00F7030B"/>
    <w:rsid w:val="00F7524B"/>
    <w:rsid w:val="00FB5D36"/>
    <w:rsid w:val="00FB6091"/>
    <w:rsid w:val="00FC32B2"/>
    <w:rsid w:val="00FC34AF"/>
    <w:rsid w:val="00FD24EB"/>
    <w:rsid w:val="00FE44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4E6FD"/>
  <w15:chartTrackingRefBased/>
  <w15:docId w15:val="{E45DC3B8-733E-48AA-A8CF-1DD5538A1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6C9"/>
    <w:pPr>
      <w:suppressAutoHyphens/>
    </w:pPr>
  </w:style>
  <w:style w:type="paragraph" w:styleId="Heading1">
    <w:name w:val="heading 1"/>
    <w:basedOn w:val="Normal"/>
    <w:next w:val="Normal"/>
    <w:link w:val="Heading1Char"/>
    <w:uiPriority w:val="9"/>
    <w:qFormat/>
    <w:rsid w:val="00F7524B"/>
    <w:pPr>
      <w:keepNext/>
      <w:keepLines/>
      <w:spacing w:before="480" w:after="160"/>
      <w:contextualSpacing/>
      <w:outlineLvl w:val="0"/>
    </w:pPr>
    <w:rPr>
      <w:rFonts w:asciiTheme="majorHAnsi" w:eastAsiaTheme="majorEastAsia" w:hAnsiTheme="majorHAnsi" w:cstheme="majorBidi"/>
      <w:color w:val="05232F"/>
      <w:sz w:val="44"/>
      <w:szCs w:val="32"/>
    </w:rPr>
  </w:style>
  <w:style w:type="paragraph" w:styleId="Heading2">
    <w:name w:val="heading 2"/>
    <w:basedOn w:val="Normal"/>
    <w:next w:val="Normal"/>
    <w:link w:val="Heading2Char"/>
    <w:uiPriority w:val="9"/>
    <w:unhideWhenUsed/>
    <w:qFormat/>
    <w:rsid w:val="00F7524B"/>
    <w:pPr>
      <w:keepNext/>
      <w:keepLines/>
      <w:spacing w:before="320" w:after="160"/>
      <w:outlineLvl w:val="1"/>
    </w:pPr>
    <w:rPr>
      <w:rFonts w:asciiTheme="majorHAnsi" w:eastAsiaTheme="majorEastAsia" w:hAnsiTheme="majorHAnsi" w:cstheme="majorBidi"/>
      <w:color w:val="05232F"/>
      <w:sz w:val="36"/>
      <w:szCs w:val="26"/>
    </w:rPr>
  </w:style>
  <w:style w:type="paragraph" w:styleId="Heading3">
    <w:name w:val="heading 3"/>
    <w:basedOn w:val="Normal"/>
    <w:next w:val="Normal"/>
    <w:link w:val="Heading3Char"/>
    <w:uiPriority w:val="9"/>
    <w:unhideWhenUsed/>
    <w:qFormat/>
    <w:rsid w:val="00F7524B"/>
    <w:pPr>
      <w:keepNext/>
      <w:keepLines/>
      <w:tabs>
        <w:tab w:val="center" w:pos="4932"/>
      </w:tabs>
      <w:spacing w:before="240" w:after="160"/>
      <w:outlineLvl w:val="2"/>
    </w:pPr>
    <w:rPr>
      <w:rFonts w:asciiTheme="majorHAnsi" w:eastAsiaTheme="majorEastAsia" w:hAnsiTheme="majorHAnsi" w:cstheme="majorBidi"/>
      <w:b/>
      <w:color w:val="0D6886"/>
      <w:sz w:val="30"/>
      <w:szCs w:val="30"/>
    </w:rPr>
  </w:style>
  <w:style w:type="paragraph" w:styleId="Heading4">
    <w:name w:val="heading 4"/>
    <w:basedOn w:val="Normal"/>
    <w:next w:val="Normal"/>
    <w:link w:val="Heading4Char"/>
    <w:uiPriority w:val="9"/>
    <w:unhideWhenUsed/>
    <w:rsid w:val="00F7524B"/>
    <w:pPr>
      <w:keepNext/>
      <w:keepLines/>
      <w:spacing w:before="240" w:after="160"/>
      <w:outlineLvl w:val="3"/>
    </w:pPr>
    <w:rPr>
      <w:rFonts w:asciiTheme="majorHAnsi" w:eastAsiaTheme="majorEastAsia" w:hAnsiTheme="majorHAnsi" w:cstheme="majorBidi"/>
      <w:b/>
      <w:iCs/>
      <w:color w:val="0D6886"/>
      <w:sz w:val="26"/>
    </w:rPr>
  </w:style>
  <w:style w:type="paragraph" w:styleId="Heading5">
    <w:name w:val="heading 5"/>
    <w:basedOn w:val="Normal"/>
    <w:next w:val="Normal"/>
    <w:link w:val="Heading5Char"/>
    <w:uiPriority w:val="9"/>
    <w:unhideWhenUsed/>
    <w:rsid w:val="00F7524B"/>
    <w:pPr>
      <w:keepNext/>
      <w:keepLines/>
      <w:spacing w:before="240" w:after="160"/>
      <w:outlineLvl w:val="4"/>
    </w:pPr>
    <w:rPr>
      <w:rFonts w:asciiTheme="majorHAnsi" w:eastAsiaTheme="majorEastAsia" w:hAnsiTheme="majorHAnsi" w:cstheme="majorBidi"/>
      <w:b/>
      <w:color w:val="05232F"/>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F7524B"/>
    <w:pPr>
      <w:spacing w:before="1680" w:after="240"/>
    </w:pPr>
    <w:rPr>
      <w:rFonts w:asciiTheme="majorHAnsi" w:eastAsiaTheme="majorEastAsia" w:hAnsiTheme="majorHAnsi" w:cs="Times New Roman (Headings CS)"/>
      <w:b/>
      <w:color w:val="05232F"/>
      <w:sz w:val="60"/>
      <w:szCs w:val="56"/>
    </w:rPr>
  </w:style>
  <w:style w:type="character" w:customStyle="1" w:styleId="TitleChar">
    <w:name w:val="Title Char"/>
    <w:basedOn w:val="DefaultParagraphFont"/>
    <w:link w:val="Title"/>
    <w:uiPriority w:val="17"/>
    <w:rsid w:val="00F7524B"/>
    <w:rPr>
      <w:rFonts w:asciiTheme="majorHAnsi" w:eastAsiaTheme="majorEastAsia" w:hAnsiTheme="majorHAnsi" w:cs="Times New Roman (Headings CS)"/>
      <w:b/>
      <w:color w:val="05232F"/>
      <w:sz w:val="60"/>
      <w:szCs w:val="56"/>
    </w:rPr>
  </w:style>
  <w:style w:type="paragraph" w:styleId="Subtitle">
    <w:name w:val="Subtitle"/>
    <w:basedOn w:val="Normal"/>
    <w:next w:val="Normal"/>
    <w:link w:val="SubtitleChar"/>
    <w:uiPriority w:val="18"/>
    <w:qFormat/>
    <w:rsid w:val="00F7524B"/>
    <w:pPr>
      <w:numPr>
        <w:ilvl w:val="1"/>
      </w:numPr>
      <w:tabs>
        <w:tab w:val="left" w:pos="6045"/>
      </w:tabs>
      <w:spacing w:before="240" w:after="160"/>
    </w:pPr>
    <w:rPr>
      <w:rFonts w:asciiTheme="majorHAnsi" w:eastAsiaTheme="minorEastAsia" w:hAnsiTheme="majorHAnsi"/>
      <w:color w:val="0D6886"/>
      <w:sz w:val="44"/>
    </w:rPr>
  </w:style>
  <w:style w:type="character" w:customStyle="1" w:styleId="SubtitleChar">
    <w:name w:val="Subtitle Char"/>
    <w:basedOn w:val="DefaultParagraphFont"/>
    <w:link w:val="Subtitle"/>
    <w:uiPriority w:val="18"/>
    <w:rsid w:val="00F7524B"/>
    <w:rPr>
      <w:rFonts w:asciiTheme="majorHAnsi" w:eastAsiaTheme="minorEastAsia" w:hAnsiTheme="majorHAnsi"/>
      <w:color w:val="0D6886"/>
      <w:sz w:val="44"/>
    </w:rPr>
  </w:style>
  <w:style w:type="paragraph" w:customStyle="1" w:styleId="CoverDate">
    <w:name w:val="Cover Date"/>
    <w:basedOn w:val="Normal"/>
    <w:uiPriority w:val="19"/>
    <w:qFormat/>
    <w:rsid w:val="00F7524B"/>
    <w:rPr>
      <w:b/>
      <w:color w:val="00425C"/>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F7524B"/>
    <w:rPr>
      <w:rFonts w:asciiTheme="majorHAnsi" w:eastAsiaTheme="majorEastAsia" w:hAnsiTheme="majorHAnsi" w:cstheme="majorBidi"/>
      <w:color w:val="05232F"/>
      <w:sz w:val="44"/>
      <w:szCs w:val="32"/>
    </w:rPr>
  </w:style>
  <w:style w:type="character" w:customStyle="1" w:styleId="Heading2Char">
    <w:name w:val="Heading 2 Char"/>
    <w:basedOn w:val="DefaultParagraphFont"/>
    <w:link w:val="Heading2"/>
    <w:uiPriority w:val="9"/>
    <w:rsid w:val="00F7524B"/>
    <w:rPr>
      <w:rFonts w:asciiTheme="majorHAnsi" w:eastAsiaTheme="majorEastAsia" w:hAnsiTheme="majorHAnsi" w:cstheme="majorBidi"/>
      <w:color w:val="05232F"/>
      <w:sz w:val="36"/>
      <w:szCs w:val="26"/>
    </w:rPr>
  </w:style>
  <w:style w:type="paragraph" w:customStyle="1" w:styleId="Introduction">
    <w:name w:val="Introduction"/>
    <w:basedOn w:val="Normal"/>
    <w:uiPriority w:val="2"/>
    <w:qFormat/>
    <w:rsid w:val="00F7524B"/>
    <w:pPr>
      <w:spacing w:before="240" w:after="240"/>
    </w:pPr>
    <w:rPr>
      <w:color w:val="0D6886"/>
      <w:sz w:val="26"/>
      <w:lang w:val="x-none"/>
    </w:rPr>
  </w:style>
  <w:style w:type="character" w:customStyle="1" w:styleId="Heading3Char">
    <w:name w:val="Heading 3 Char"/>
    <w:basedOn w:val="DefaultParagraphFont"/>
    <w:link w:val="Heading3"/>
    <w:uiPriority w:val="9"/>
    <w:rsid w:val="00F7524B"/>
    <w:rPr>
      <w:rFonts w:asciiTheme="majorHAnsi" w:eastAsiaTheme="majorEastAsia" w:hAnsiTheme="majorHAnsi" w:cstheme="majorBidi"/>
      <w:b/>
      <w:color w:val="0D6886"/>
      <w:sz w:val="30"/>
      <w:szCs w:val="30"/>
    </w:rPr>
  </w:style>
  <w:style w:type="character" w:customStyle="1" w:styleId="Heading4Char">
    <w:name w:val="Heading 4 Char"/>
    <w:basedOn w:val="DefaultParagraphFont"/>
    <w:link w:val="Heading4"/>
    <w:uiPriority w:val="9"/>
    <w:rsid w:val="00F7524B"/>
    <w:rPr>
      <w:rFonts w:asciiTheme="majorHAnsi" w:eastAsiaTheme="majorEastAsia" w:hAnsiTheme="majorHAnsi" w:cstheme="majorBidi"/>
      <w:b/>
      <w:iCs/>
      <w:color w:val="0D6886"/>
      <w:sz w:val="26"/>
    </w:rPr>
  </w:style>
  <w:style w:type="character" w:customStyle="1" w:styleId="Heading5Char">
    <w:name w:val="Heading 5 Char"/>
    <w:basedOn w:val="DefaultParagraphFont"/>
    <w:link w:val="Heading5"/>
    <w:uiPriority w:val="9"/>
    <w:rsid w:val="00F7524B"/>
    <w:rPr>
      <w:rFonts w:asciiTheme="majorHAnsi" w:eastAsiaTheme="majorEastAsia" w:hAnsiTheme="majorHAnsi" w:cstheme="majorBidi"/>
      <w:b/>
      <w:color w:val="05232F"/>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347C7E" w:themeColor="accent2"/>
        <w:bottom w:val="single" w:sz="4" w:space="0" w:color="347C7E" w:themeColor="accent2"/>
        <w:insideH w:val="single" w:sz="4" w:space="0" w:color="347C7E"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13"/>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15"/>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F7524B"/>
    <w:pPr>
      <w:pBdr>
        <w:top w:val="single" w:sz="4" w:space="14" w:color="0D6886"/>
        <w:left w:val="single" w:sz="4" w:space="14" w:color="0D6886"/>
        <w:bottom w:val="single" w:sz="4" w:space="14" w:color="0D6886"/>
        <w:right w:val="single" w:sz="4" w:space="14" w:color="0D6886"/>
      </w:pBdr>
      <w:ind w:left="284" w:right="284"/>
    </w:pPr>
    <w:rPr>
      <w:lang w:val="x-none"/>
    </w:rPr>
  </w:style>
  <w:style w:type="paragraph" w:customStyle="1" w:styleId="Box1Heading">
    <w:name w:val="Box 1 Heading"/>
    <w:basedOn w:val="Box1Text"/>
    <w:uiPriority w:val="23"/>
    <w:qFormat/>
    <w:rsid w:val="00F7524B"/>
    <w:rPr>
      <w:b/>
    </w:rPr>
  </w:style>
  <w:style w:type="paragraph" w:customStyle="1" w:styleId="Box1Bullet1">
    <w:name w:val="Box 1 Bullet 1"/>
    <w:basedOn w:val="Box1Text"/>
    <w:uiPriority w:val="24"/>
    <w:qFormat/>
    <w:rsid w:val="00F7524B"/>
    <w:pPr>
      <w:numPr>
        <w:numId w:val="27"/>
      </w:numPr>
      <w:spacing w:before="80"/>
    </w:pPr>
    <w:rPr>
      <w:kern w:val="12"/>
      <w:sz w:val="20"/>
      <w:szCs w:val="20"/>
    </w:rPr>
  </w:style>
  <w:style w:type="paragraph" w:customStyle="1" w:styleId="Box2Text">
    <w:name w:val="Box 2 Text"/>
    <w:basedOn w:val="Normal"/>
    <w:uiPriority w:val="24"/>
    <w:qFormat/>
    <w:rsid w:val="00F7524B"/>
    <w:pPr>
      <w:pBdr>
        <w:top w:val="single" w:sz="4" w:space="14" w:color="DEE7EA"/>
        <w:left w:val="single" w:sz="4" w:space="14" w:color="DEE7EA"/>
        <w:bottom w:val="single" w:sz="4" w:space="14" w:color="DEE7EA"/>
        <w:right w:val="single" w:sz="4" w:space="14" w:color="DEE7EA"/>
      </w:pBdr>
      <w:shd w:val="clear" w:color="auto" w:fill="DEE7EA"/>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430511"/>
    <w:pPr>
      <w:numPr>
        <w:ilvl w:val="1"/>
        <w:numId w:val="27"/>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1"/>
      </w:numPr>
    </w:pPr>
  </w:style>
  <w:style w:type="numbering" w:customStyle="1" w:styleId="ListLegal">
    <w:name w:val="List Legal"/>
    <w:uiPriority w:val="99"/>
    <w:rsid w:val="00477E77"/>
    <w:pPr>
      <w:numPr>
        <w:numId w:val="13"/>
      </w:numPr>
    </w:pPr>
  </w:style>
  <w:style w:type="numbering" w:customStyle="1" w:styleId="ListNumbered">
    <w:name w:val="List Numbered"/>
    <w:uiPriority w:val="99"/>
    <w:rsid w:val="00477E77"/>
    <w:pPr>
      <w:numPr>
        <w:numId w:val="15"/>
      </w:numPr>
    </w:pPr>
  </w:style>
  <w:style w:type="paragraph" w:customStyle="1" w:styleId="Heading1Numbered">
    <w:name w:val="Heading 1 Numbered"/>
    <w:basedOn w:val="Heading1"/>
    <w:uiPriority w:val="10"/>
    <w:rsid w:val="003F775D"/>
    <w:pPr>
      <w:numPr>
        <w:numId w:val="18"/>
      </w:numPr>
    </w:pPr>
  </w:style>
  <w:style w:type="paragraph" w:customStyle="1" w:styleId="Heading2Numbered">
    <w:name w:val="Heading 2 Numbered"/>
    <w:basedOn w:val="Heading2"/>
    <w:uiPriority w:val="10"/>
    <w:rsid w:val="003F775D"/>
    <w:pPr>
      <w:numPr>
        <w:ilvl w:val="1"/>
        <w:numId w:val="18"/>
      </w:numPr>
    </w:pPr>
  </w:style>
  <w:style w:type="paragraph" w:customStyle="1" w:styleId="Heading3Numbered">
    <w:name w:val="Heading 3 Numbered"/>
    <w:basedOn w:val="Heading3"/>
    <w:uiPriority w:val="10"/>
    <w:rsid w:val="003F775D"/>
    <w:pPr>
      <w:numPr>
        <w:ilvl w:val="2"/>
        <w:numId w:val="18"/>
      </w:numPr>
    </w:pPr>
  </w:style>
  <w:style w:type="paragraph" w:customStyle="1" w:styleId="Heading4Numbered">
    <w:name w:val="Heading 4 Numbered"/>
    <w:basedOn w:val="Heading4"/>
    <w:uiPriority w:val="10"/>
    <w:rsid w:val="003F775D"/>
    <w:pPr>
      <w:numPr>
        <w:ilvl w:val="3"/>
        <w:numId w:val="18"/>
      </w:numPr>
    </w:pPr>
  </w:style>
  <w:style w:type="paragraph" w:customStyle="1" w:styleId="Heading5Numbered">
    <w:name w:val="Heading 5 Numbered"/>
    <w:basedOn w:val="Heading5"/>
    <w:uiPriority w:val="10"/>
    <w:rsid w:val="00F7524B"/>
    <w:pPr>
      <w:numPr>
        <w:ilvl w:val="4"/>
        <w:numId w:val="18"/>
      </w:numPr>
    </w:pPr>
  </w:style>
  <w:style w:type="numbering" w:customStyle="1" w:styleId="NumberedHeadings">
    <w:name w:val="Numbered Headings"/>
    <w:uiPriority w:val="99"/>
    <w:rsid w:val="003F775D"/>
    <w:pPr>
      <w:numPr>
        <w:numId w:val="17"/>
      </w:numPr>
    </w:pPr>
  </w:style>
  <w:style w:type="paragraph" w:customStyle="1" w:styleId="AppendixHeading1">
    <w:name w:val="Appendix Heading 1"/>
    <w:basedOn w:val="Heading1"/>
    <w:uiPriority w:val="11"/>
    <w:qFormat/>
    <w:rsid w:val="0001430B"/>
    <w:pPr>
      <w:numPr>
        <w:numId w:val="21"/>
      </w:numPr>
    </w:pPr>
  </w:style>
  <w:style w:type="paragraph" w:customStyle="1" w:styleId="AppendixHeading2">
    <w:name w:val="Appendix Heading 2"/>
    <w:basedOn w:val="Heading2"/>
    <w:uiPriority w:val="11"/>
    <w:rsid w:val="0001430B"/>
    <w:pPr>
      <w:numPr>
        <w:ilvl w:val="1"/>
        <w:numId w:val="21"/>
      </w:numPr>
    </w:pPr>
  </w:style>
  <w:style w:type="paragraph" w:customStyle="1" w:styleId="AttachmentHeading1">
    <w:name w:val="Attachment Heading 1"/>
    <w:basedOn w:val="Heading1"/>
    <w:uiPriority w:val="11"/>
    <w:qFormat/>
    <w:rsid w:val="0001430B"/>
    <w:pPr>
      <w:numPr>
        <w:numId w:val="22"/>
      </w:numPr>
    </w:pPr>
  </w:style>
  <w:style w:type="paragraph" w:customStyle="1" w:styleId="AttachmentHeading2">
    <w:name w:val="Attachment Heading 2"/>
    <w:basedOn w:val="Heading2"/>
    <w:uiPriority w:val="11"/>
    <w:rsid w:val="0001430B"/>
    <w:pPr>
      <w:numPr>
        <w:ilvl w:val="1"/>
        <w:numId w:val="22"/>
      </w:numPr>
    </w:pPr>
  </w:style>
  <w:style w:type="numbering" w:customStyle="1" w:styleId="AppendixNumbers">
    <w:name w:val="Appendix Numbers"/>
    <w:uiPriority w:val="99"/>
    <w:rsid w:val="0001430B"/>
    <w:pPr>
      <w:numPr>
        <w:numId w:val="19"/>
      </w:numPr>
    </w:pPr>
  </w:style>
  <w:style w:type="numbering" w:customStyle="1" w:styleId="AttachmentNumbers">
    <w:name w:val="Attachment Numbers"/>
    <w:uiPriority w:val="99"/>
    <w:rsid w:val="0001430B"/>
    <w:pPr>
      <w:numPr>
        <w:numId w:val="22"/>
      </w:numPr>
    </w:pPr>
  </w:style>
  <w:style w:type="paragraph" w:styleId="Quote">
    <w:name w:val="Quote"/>
    <w:basedOn w:val="Normal"/>
    <w:next w:val="Normal"/>
    <w:link w:val="QuoteChar"/>
    <w:uiPriority w:val="29"/>
    <w:qFormat/>
    <w:rsid w:val="00D62C1B"/>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D62C1B"/>
    <w:rPr>
      <w:b/>
      <w:iCs/>
      <w:color w:val="404040" w:themeColor="text1" w:themeTint="BF"/>
    </w:rPr>
  </w:style>
  <w:style w:type="paragraph" w:styleId="TOC1">
    <w:name w:val="toc 1"/>
    <w:basedOn w:val="Normal"/>
    <w:next w:val="Normal"/>
    <w:autoRedefine/>
    <w:uiPriority w:val="39"/>
    <w:rsid w:val="00A95970"/>
    <w:pPr>
      <w:keepLines/>
      <w:tabs>
        <w:tab w:val="right" w:pos="9854"/>
      </w:tabs>
      <w:ind w:left="567" w:hanging="567"/>
    </w:pPr>
    <w:rPr>
      <w:b/>
      <w:sz w:val="24"/>
      <w:u w:val="single" w:color="347C7E"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40"/>
    <w:unhideWhenUsed/>
    <w:rsid w:val="006E1ECA"/>
    <w:pPr>
      <w:spacing w:before="80"/>
    </w:pPr>
  </w:style>
  <w:style w:type="paragraph" w:customStyle="1" w:styleId="AreaHeading">
    <w:name w:val="Area Heading"/>
    <w:basedOn w:val="Normal"/>
    <w:qFormat/>
    <w:rsid w:val="00D26896"/>
    <w:pPr>
      <w:spacing w:before="0" w:after="240"/>
      <w:ind w:left="-1021" w:firstLine="1021"/>
    </w:pPr>
    <w:rPr>
      <w:rFonts w:cs="Times New Roman (Body CS)"/>
      <w:caps/>
      <w:color w:val="49515C" w:themeColor="accent4" w:themeShade="80"/>
    </w:rPr>
  </w:style>
  <w:style w:type="paragraph" w:customStyle="1" w:styleId="Box2Checklist">
    <w:name w:val="Box 2 Checklist"/>
    <w:basedOn w:val="Box2Text"/>
    <w:uiPriority w:val="26"/>
    <w:qFormat/>
    <w:rsid w:val="00430511"/>
    <w:pPr>
      <w:numPr>
        <w:ilvl w:val="2"/>
        <w:numId w:val="27"/>
      </w:numPr>
    </w:pPr>
    <w:rPr>
      <w:kern w:val="12"/>
      <w:sz w:val="20"/>
      <w:szCs w:val="20"/>
    </w:rPr>
  </w:style>
  <w:style w:type="numbering" w:customStyle="1" w:styleId="BoxedBullets">
    <w:name w:val="Boxed Bullets"/>
    <w:uiPriority w:val="99"/>
    <w:rsid w:val="00430511"/>
    <w:pPr>
      <w:numPr>
        <w:numId w:val="24"/>
      </w:numPr>
    </w:pPr>
  </w:style>
  <w:style w:type="paragraph" w:customStyle="1" w:styleId="SecurityMarker">
    <w:name w:val="Security Marker"/>
    <w:basedOn w:val="Normal"/>
    <w:qFormat/>
    <w:rsid w:val="001D659E"/>
    <w:pPr>
      <w:spacing w:before="60" w:after="60"/>
      <w:jc w:val="center"/>
    </w:pPr>
    <w:rPr>
      <w:b/>
      <w:bCs/>
      <w:caps/>
      <w:color w:val="E10000"/>
      <w:sz w:val="28"/>
      <w:szCs w:val="28"/>
      <w:shd w:val="clear" w:color="auto" w:fill="FFFFFF" w:themeFill="background1"/>
    </w:rPr>
  </w:style>
  <w:style w:type="paragraph" w:customStyle="1" w:styleId="Tagline">
    <w:name w:val="Tagline"/>
    <w:basedOn w:val="Normal"/>
    <w:qFormat/>
    <w:rsid w:val="0099647D"/>
    <w:pPr>
      <w:framePr w:wrap="notBeside" w:vAnchor="text" w:hAnchor="text" w:y="1"/>
      <w:spacing w:before="500" w:after="120"/>
    </w:pPr>
    <w:rPr>
      <w:color w:val="49515C"/>
    </w:rPr>
  </w:style>
  <w:style w:type="character" w:styleId="UnresolvedMention">
    <w:name w:val="Unresolved Mention"/>
    <w:basedOn w:val="DefaultParagraphFont"/>
    <w:uiPriority w:val="99"/>
    <w:semiHidden/>
    <w:unhideWhenUsed/>
    <w:rsid w:val="001D659E"/>
    <w:rPr>
      <w:color w:val="605E5C"/>
      <w:shd w:val="clear" w:color="auto" w:fill="E1DFDD"/>
    </w:rPr>
  </w:style>
  <w:style w:type="character" w:styleId="CommentReference">
    <w:name w:val="annotation reference"/>
    <w:basedOn w:val="DefaultParagraphFont"/>
    <w:uiPriority w:val="99"/>
    <w:semiHidden/>
    <w:unhideWhenUsed/>
    <w:rsid w:val="00140888"/>
    <w:rPr>
      <w:sz w:val="16"/>
      <w:szCs w:val="16"/>
    </w:rPr>
  </w:style>
  <w:style w:type="paragraph" w:styleId="CommentText">
    <w:name w:val="annotation text"/>
    <w:basedOn w:val="Normal"/>
    <w:link w:val="CommentTextChar"/>
    <w:uiPriority w:val="99"/>
    <w:unhideWhenUsed/>
    <w:rsid w:val="00140888"/>
    <w:rPr>
      <w:sz w:val="20"/>
      <w:szCs w:val="20"/>
    </w:rPr>
  </w:style>
  <w:style w:type="character" w:customStyle="1" w:styleId="CommentTextChar">
    <w:name w:val="Comment Text Char"/>
    <w:basedOn w:val="DefaultParagraphFont"/>
    <w:link w:val="CommentText"/>
    <w:uiPriority w:val="99"/>
    <w:rsid w:val="00140888"/>
    <w:rPr>
      <w:sz w:val="20"/>
      <w:szCs w:val="20"/>
    </w:rPr>
  </w:style>
  <w:style w:type="paragraph" w:styleId="CommentSubject">
    <w:name w:val="annotation subject"/>
    <w:basedOn w:val="CommentText"/>
    <w:next w:val="CommentText"/>
    <w:link w:val="CommentSubjectChar"/>
    <w:uiPriority w:val="99"/>
    <w:semiHidden/>
    <w:unhideWhenUsed/>
    <w:rsid w:val="00140888"/>
    <w:rPr>
      <w:b/>
      <w:bCs/>
    </w:rPr>
  </w:style>
  <w:style w:type="character" w:customStyle="1" w:styleId="CommentSubjectChar">
    <w:name w:val="Comment Subject Char"/>
    <w:basedOn w:val="CommentTextChar"/>
    <w:link w:val="CommentSubject"/>
    <w:uiPriority w:val="99"/>
    <w:semiHidden/>
    <w:rsid w:val="00140888"/>
    <w:rPr>
      <w:b/>
      <w:bCs/>
      <w:sz w:val="20"/>
      <w:szCs w:val="20"/>
    </w:rPr>
  </w:style>
  <w:style w:type="paragraph" w:styleId="BalloonText">
    <w:name w:val="Balloon Text"/>
    <w:basedOn w:val="Normal"/>
    <w:link w:val="BalloonTextChar"/>
    <w:uiPriority w:val="99"/>
    <w:semiHidden/>
    <w:unhideWhenUsed/>
    <w:rsid w:val="0014088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888"/>
    <w:rPr>
      <w:rFonts w:ascii="Segoe UI" w:hAnsi="Segoe UI" w:cs="Segoe UI"/>
      <w:sz w:val="18"/>
      <w:szCs w:val="18"/>
    </w:rPr>
  </w:style>
  <w:style w:type="paragraph" w:styleId="ListParagraph">
    <w:name w:val="List Paragraph"/>
    <w:basedOn w:val="Normal"/>
    <w:uiPriority w:val="99"/>
    <w:unhideWhenUsed/>
    <w:qFormat/>
    <w:rsid w:val="0048292A"/>
    <w:pPr>
      <w:ind w:left="720"/>
      <w:contextualSpacing/>
    </w:pPr>
  </w:style>
  <w:style w:type="paragraph" w:styleId="Revision">
    <w:name w:val="Revision"/>
    <w:hidden/>
    <w:uiPriority w:val="99"/>
    <w:semiHidden/>
    <w:rsid w:val="008A4111"/>
    <w:pPr>
      <w:spacing w:before="0" w:after="0"/>
    </w:pPr>
  </w:style>
  <w:style w:type="character" w:styleId="FollowedHyperlink">
    <w:name w:val="FollowedHyperlink"/>
    <w:basedOn w:val="DefaultParagraphFont"/>
    <w:uiPriority w:val="99"/>
    <w:semiHidden/>
    <w:unhideWhenUsed/>
    <w:rsid w:val="003B640D"/>
    <w:rPr>
      <w:color w:val="0046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89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F2019L00198/latest/text" TargetMode="External"/><Relationship Id="rId18" Type="http://schemas.openxmlformats.org/officeDocument/2006/relationships/hyperlink" Target="https://www.legislation.gov.au/F2025L01402/latest/text" TargetMode="External"/><Relationship Id="rId26" Type="http://schemas.openxmlformats.org/officeDocument/2006/relationships/hyperlink" Target="https://www.youtube.com/playlist?list=PLBqirIDWFx21Nss-0-x0kgTHO7lLlUnzC" TargetMode="External"/><Relationship Id="rId3" Type="http://schemas.openxmlformats.org/officeDocument/2006/relationships/customXml" Target="../customXml/item3.xml"/><Relationship Id="rId21" Type="http://schemas.openxmlformats.org/officeDocument/2006/relationships/hyperlink" Target="https://www.infrastructure.gov.au/department/media/publications/guidance-note-calculation-carbon-dioxide-emissions-values-register-approved-vehicles"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nvesregulator.gov.au/complying-nves/your-obligations" TargetMode="External"/><Relationship Id="rId17" Type="http://schemas.openxmlformats.org/officeDocument/2006/relationships/hyperlink" Target="https://www.legislation.gov.au/F2008L00649/latest/text" TargetMode="External"/><Relationship Id="rId25" Type="http://schemas.openxmlformats.org/officeDocument/2006/relationships/hyperlink" Target="https://www.nvesregulator.gov.au/"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legislation.gov.au/F2008L00649/latest/text" TargetMode="External"/><Relationship Id="rId20" Type="http://schemas.openxmlformats.org/officeDocument/2006/relationships/hyperlink" Target="https://www.legislation.gov.au/F2026L00512/latest/tex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NVESRegulator@infrastructure.gov.au"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infrastructure.gov.au/department/media/publications/guidance-note-data-requirements-adr-8103-energy-consumption-labelling-light-vehicles" TargetMode="External"/><Relationship Id="rId23" Type="http://schemas.openxmlformats.org/officeDocument/2006/relationships/hyperlink" Target="https://www.legislation.gov.au/C2018A00163/latest/text" TargetMode="External"/><Relationship Id="rId28" Type="http://schemas.openxmlformats.org/officeDocument/2006/relationships/hyperlink" Target="https://au.linkedin.com/company/new-vehicle-efficiency-standard-regulator"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legislation.gov.au/F2025L01402/latest/text"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reenvehicleguide.gov.au/" TargetMode="External"/><Relationship Id="rId22" Type="http://schemas.openxmlformats.org/officeDocument/2006/relationships/hyperlink" Target="https://www.nvesregulator.gov.au/complying-nves/your-obligations" TargetMode="External"/><Relationship Id="rId27" Type="http://schemas.openxmlformats.org/officeDocument/2006/relationships/hyperlink" Target="https://au.linkedin.com/company/new-vehicle-efficiency-standard-regulator" TargetMode="External"/><Relationship Id="rId30" Type="http://schemas.openxmlformats.org/officeDocument/2006/relationships/footer" Target="footer1.xml"/><Relationship Id="rId35" Type="http://schemas.openxmlformats.org/officeDocument/2006/relationships/glossaryDocument" Target="glossary/document.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deptinfrastructure.sharepoint.com/sites/SiteProvisioningHub/OfficeTemplates/NVES%20Regulator/NVES%20Regulator%20Standard%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8B1CF4495A47BD807BF4D67D605F12"/>
        <w:category>
          <w:name w:val="General"/>
          <w:gallery w:val="placeholder"/>
        </w:category>
        <w:types>
          <w:type w:val="bbPlcHdr"/>
        </w:types>
        <w:behaviors>
          <w:behavior w:val="content"/>
        </w:behaviors>
        <w:guid w:val="{E8064670-87E5-44A7-8C23-F618BA0BE654}"/>
      </w:docPartPr>
      <w:docPartBody>
        <w:p w:rsidR="00250C38" w:rsidRDefault="00A80AFD">
          <w:pPr>
            <w:pStyle w:val="308B1CF4495A47BD807BF4D67D605F12"/>
          </w:pPr>
          <w:r w:rsidRPr="00EC51DD">
            <w:rPr>
              <w:rStyle w:val="PlaceholderText"/>
            </w:rPr>
            <w:t>[Title]</w:t>
          </w:r>
        </w:p>
      </w:docPartBody>
    </w:docPart>
    <w:docPart>
      <w:docPartPr>
        <w:name w:val="FCBBE5C55EA4477AB3DBB0E45E5696A3"/>
        <w:category>
          <w:name w:val="General"/>
          <w:gallery w:val="placeholder"/>
        </w:category>
        <w:types>
          <w:type w:val="bbPlcHdr"/>
        </w:types>
        <w:behaviors>
          <w:behavior w:val="content"/>
        </w:behaviors>
        <w:guid w:val="{A91066BE-2082-4A21-A612-CAEC3194A882}"/>
      </w:docPartPr>
      <w:docPartBody>
        <w:p w:rsidR="00250C38" w:rsidRDefault="00A80AFD">
          <w:pPr>
            <w:pStyle w:val="FCBBE5C55EA4477AB3DBB0E45E5696A3"/>
          </w:pPr>
          <w:r w:rsidRPr="00EC51DD">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panose1 w:val="00000000000000000000"/>
    <w:charset w:val="00"/>
    <w:family w:val="roman"/>
    <w:notTrueType/>
    <w:pitch w:val="default"/>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796"/>
    <w:rsid w:val="00201F46"/>
    <w:rsid w:val="00250C38"/>
    <w:rsid w:val="002848F8"/>
    <w:rsid w:val="0029577D"/>
    <w:rsid w:val="002B46C7"/>
    <w:rsid w:val="004C316B"/>
    <w:rsid w:val="006B3349"/>
    <w:rsid w:val="007117CB"/>
    <w:rsid w:val="008F2679"/>
    <w:rsid w:val="00A80AFD"/>
    <w:rsid w:val="00A868F1"/>
    <w:rsid w:val="00CC4796"/>
    <w:rsid w:val="00D64651"/>
    <w:rsid w:val="00EC67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08B1CF4495A47BD807BF4D67D605F12">
    <w:name w:val="308B1CF4495A47BD807BF4D67D605F12"/>
  </w:style>
  <w:style w:type="paragraph" w:customStyle="1" w:styleId="FCBBE5C55EA4477AB3DBB0E45E5696A3">
    <w:name w:val="FCBBE5C55EA4477AB3DBB0E45E569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000000"/>
      </a:dk1>
      <a:lt1>
        <a:srgbClr val="FFFFFF"/>
      </a:lt1>
      <a:dk2>
        <a:srgbClr val="081E3E"/>
      </a:dk2>
      <a:lt2>
        <a:srgbClr val="E7E7E7"/>
      </a:lt2>
      <a:accent1>
        <a:srgbClr val="081E3E"/>
      </a:accent1>
      <a:accent2>
        <a:srgbClr val="347C7E"/>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B9178BB23CE0D479AE3579596D187BC" ma:contentTypeVersion="3" ma:contentTypeDescription="Create a new document." ma:contentTypeScope="" ma:versionID="12fa38767850f959d4d0b153b027612a">
  <xsd:schema xmlns:xsd="http://www.w3.org/2001/XMLSchema" xmlns:xs="http://www.w3.org/2001/XMLSchema" xmlns:p="http://schemas.microsoft.com/office/2006/metadata/properties" xmlns:ns2="1f55c1b0-4536-4b56-92e3-f3188c9812f4" targetNamespace="http://schemas.microsoft.com/office/2006/metadata/properties" ma:root="true" ma:fieldsID="7a7cbf191d42e022e0a3729aaa415fbb" ns2:_="">
    <xsd:import namespace="1f55c1b0-4536-4b56-92e3-f3188c9812f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5c1b0-4536-4b56-92e3-f3188c981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639D3-CB1F-4976-BBDB-246B242AF41E}">
  <ds:schemaRefs>
    <ds:schemaRef ds:uri="http://schemas.openxmlformats.org/officeDocument/2006/bibliography"/>
  </ds:schemaRefs>
</ds:datastoreItem>
</file>

<file path=customXml/itemProps3.xml><?xml version="1.0" encoding="utf-8"?>
<ds:datastoreItem xmlns:ds="http://schemas.openxmlformats.org/officeDocument/2006/customXml" ds:itemID="{FA777700-1A7E-45B6-A9EC-2DB9DBC5CC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E72961-E5FF-4F43-9532-FD7B95D4870F}">
  <ds:schemaRefs>
    <ds:schemaRef ds:uri="http://schemas.microsoft.com/sharepoint/v3/contenttype/forms"/>
  </ds:schemaRefs>
</ds:datastoreItem>
</file>

<file path=customXml/itemProps5.xml><?xml version="1.0" encoding="utf-8"?>
<ds:datastoreItem xmlns:ds="http://schemas.openxmlformats.org/officeDocument/2006/customXml" ds:itemID="{1F2962DF-03EA-49D8-B65E-B54D6BB99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55c1b0-4536-4b56-92e3-f3188c981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NVES%20Regulator%20Standard%20Portrait.dotx</Template>
  <TotalTime>1</TotalTime>
  <Pages>6</Pages>
  <Words>2578</Words>
  <Characters>13979</Characters>
  <Application>Microsoft Office Word</Application>
  <DocSecurity>0</DocSecurity>
  <Lines>411</Lines>
  <Paragraphs>188</Paragraphs>
  <ScaleCrop>false</ScaleCrop>
  <HeadingPairs>
    <vt:vector size="2" baseType="variant">
      <vt:variant>
        <vt:lpstr>Title</vt:lpstr>
      </vt:variant>
      <vt:variant>
        <vt:i4>1</vt:i4>
      </vt:variant>
    </vt:vector>
  </HeadingPairs>
  <TitlesOfParts>
    <vt:vector size="1" baseType="lpstr">
      <vt:lpstr>Submitting correct carbon dioxide emissions values for NVES</vt:lpstr>
    </vt:vector>
  </TitlesOfParts>
  <Company>Department of Infrastructure &amp; Regional Development</Company>
  <LinksUpToDate>false</LinksUpToDate>
  <CharactersWithSpaces>16369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Submitting correct carbon dioxide emissions values for NVES</dc:title>
  <dc:subject/>
  <cp:keywords>1.0</cp:keywords>
  <dc:description/>
  <dcterms:created xsi:type="dcterms:W3CDTF">2026-08-20T04:55:00Z</dcterms:created>
  <dcterms:modified xsi:type="dcterms:W3CDTF">2026-08-20T04:55:00Z</dcterms:modified>
  <cp:category>08 / 2026</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0x010100BB9178BB23CE0D479AE3579596D187BC</vt:lpwstr>
  </property>
  <property fmtid="{D5CDD505-2E9C-101B-9397-08002B2CF9AE}" pid="3" name="ClassificationContentMarkingHeaderShapeIds">
    <vt:lpwstr>466eb98c,3de187e3,599e33e</vt:lpwstr>
  </property>
  <property fmtid="{D5CDD505-2E9C-101B-9397-08002B2CF9AE}" pid="4" name="ClassificationContentMarkingHeaderFontProps">
    <vt:lpwstr>#ff0000,14,Aptos</vt:lpwstr>
  </property>
  <property fmtid="{D5CDD505-2E9C-101B-9397-08002B2CF9AE}" pid="5" name="ClassificationContentMarkingHeaderText">
    <vt:lpwstr>OFFICIAL</vt:lpwstr>
  </property>
  <property fmtid="{D5CDD505-2E9C-101B-9397-08002B2CF9AE}" pid="6" name="ClassificationContentMarkingFooterShapeIds">
    <vt:lpwstr>3b126889,6f8bc246,7961bcbd</vt:lpwstr>
  </property>
  <property fmtid="{D5CDD505-2E9C-101B-9397-08002B2CF9AE}" pid="7" name="ClassificationContentMarkingFooterFontProps">
    <vt:lpwstr>#ff0000,14,Aptos</vt:lpwstr>
  </property>
  <property fmtid="{D5CDD505-2E9C-101B-9397-08002B2CF9AE}" pid="8" name="ClassificationContentMarkingFooterText">
    <vt:lpwstr>OFFICIAL</vt:lpwstr>
  </property>
</Properties>
</file>